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C5" w:rsidRPr="003203BE" w:rsidRDefault="006A35C5" w:rsidP="003203BE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3203BE">
        <w:rPr>
          <w:b/>
          <w:sz w:val="24"/>
        </w:rPr>
        <w:t>MINISTERIAL AMBULANCE AVAILABILITY TASKFORCE</w:t>
      </w:r>
    </w:p>
    <w:p w:rsidR="00390BFC" w:rsidRPr="003203BE" w:rsidRDefault="00A624A5" w:rsidP="003203BE">
      <w:pPr>
        <w:spacing w:after="0" w:line="240" w:lineRule="auto"/>
        <w:rPr>
          <w:b/>
          <w:color w:val="000000" w:themeColor="text1"/>
          <w:sz w:val="24"/>
        </w:rPr>
      </w:pPr>
      <w:r w:rsidRPr="003203BE">
        <w:rPr>
          <w:b/>
          <w:color w:val="000000" w:themeColor="text1"/>
          <w:sz w:val="24"/>
        </w:rPr>
        <w:t>What is it?</w:t>
      </w:r>
    </w:p>
    <w:p w:rsidR="003203BE" w:rsidRPr="001679B8" w:rsidRDefault="003203BE" w:rsidP="003203B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The </w:t>
      </w:r>
      <w:r w:rsidR="006A35C5" w:rsidRPr="003203BE">
        <w:rPr>
          <w:sz w:val="24"/>
        </w:rPr>
        <w:t xml:space="preserve">Minister announced </w:t>
      </w:r>
      <w:r>
        <w:rPr>
          <w:sz w:val="24"/>
        </w:rPr>
        <w:t>on 16 January 2020</w:t>
      </w:r>
      <w:r w:rsidR="00B9706F">
        <w:rPr>
          <w:sz w:val="24"/>
        </w:rPr>
        <w:t>: ‘</w:t>
      </w:r>
      <w:r w:rsidRPr="001679B8">
        <w:rPr>
          <w:rFonts w:eastAsia="Times New Roman" w:cs="Arial"/>
          <w:color w:val="1F1F1F"/>
          <w:sz w:val="24"/>
          <w:szCs w:val="24"/>
          <w:lang w:val="en" w:eastAsia="en-GB"/>
        </w:rPr>
        <w:t xml:space="preserve">The Amber Review found that 'ambulance availability' was the single main determinant for the timeliness of Amber response. The review identified a range of issues that reduce the availability of ambulance resources and detailed a number of recommendations to enable improvement. Progress has been made against these recommendations, but I believe more work is needed to </w:t>
      </w:r>
      <w:proofErr w:type="spellStart"/>
      <w:r w:rsidRPr="001679B8">
        <w:rPr>
          <w:rFonts w:eastAsia="Times New Roman" w:cs="Arial"/>
          <w:color w:val="1F1F1F"/>
          <w:sz w:val="24"/>
          <w:szCs w:val="24"/>
          <w:lang w:val="en" w:eastAsia="en-GB"/>
        </w:rPr>
        <w:t>realise</w:t>
      </w:r>
      <w:proofErr w:type="spellEnd"/>
      <w:r w:rsidRPr="001679B8">
        <w:rPr>
          <w:rFonts w:eastAsia="Times New Roman" w:cs="Arial"/>
          <w:color w:val="1F1F1F"/>
          <w:sz w:val="24"/>
          <w:szCs w:val="24"/>
          <w:lang w:val="en" w:eastAsia="en-GB"/>
        </w:rPr>
        <w:t xml:space="preserve"> the necessary improvements in ambulance delivery.</w:t>
      </w:r>
      <w:r w:rsidRPr="003203BE">
        <w:rPr>
          <w:rFonts w:eastAsia="Times New Roman" w:cs="Arial"/>
          <w:color w:val="1F1F1F"/>
          <w:sz w:val="24"/>
          <w:szCs w:val="24"/>
          <w:lang w:val="en" w:eastAsia="en-GB"/>
        </w:rPr>
        <w:t xml:space="preserve"> </w:t>
      </w:r>
      <w:r w:rsidRPr="001679B8">
        <w:rPr>
          <w:rFonts w:eastAsia="Times New Roman" w:cs="Arial"/>
          <w:color w:val="1F1F1F"/>
          <w:sz w:val="24"/>
          <w:szCs w:val="24"/>
          <w:lang w:val="en" w:eastAsia="en-GB"/>
        </w:rPr>
        <w:t>It is clear that given the changing operational environment, improvements to Amber response cannot be delivered in isolation from the wider issues surrounding ambulance availability</w:t>
      </w:r>
      <w:r w:rsidR="00B9706F">
        <w:rPr>
          <w:rFonts w:eastAsia="Times New Roman" w:cs="Arial"/>
          <w:color w:val="1F1F1F"/>
          <w:sz w:val="24"/>
          <w:szCs w:val="24"/>
          <w:lang w:val="en" w:eastAsia="en-GB"/>
        </w:rPr>
        <w:t>’</w:t>
      </w:r>
      <w:r w:rsidRPr="001679B8">
        <w:rPr>
          <w:rFonts w:eastAsia="Times New Roman" w:cs="Arial"/>
          <w:color w:val="1F1F1F"/>
          <w:sz w:val="24"/>
          <w:szCs w:val="24"/>
          <w:lang w:val="en" w:eastAsia="en-GB"/>
        </w:rPr>
        <w:t>.</w:t>
      </w:r>
    </w:p>
    <w:p w:rsidR="003203BE" w:rsidRPr="003203BE" w:rsidRDefault="003203BE" w:rsidP="003203BE">
      <w:pPr>
        <w:spacing w:after="0" w:line="240" w:lineRule="auto"/>
        <w:rPr>
          <w:rFonts w:eastAsia="Times New Roman" w:cs="Arial"/>
          <w:color w:val="1F1F1F"/>
          <w:sz w:val="24"/>
          <w:szCs w:val="24"/>
          <w:lang w:val="en" w:eastAsia="en-GB"/>
        </w:rPr>
      </w:pPr>
    </w:p>
    <w:p w:rsidR="003203BE" w:rsidRPr="001679B8" w:rsidRDefault="003203BE" w:rsidP="003203BE">
      <w:pPr>
        <w:spacing w:after="0" w:line="240" w:lineRule="auto"/>
        <w:rPr>
          <w:rFonts w:eastAsia="Times New Roman" w:cs="Arial"/>
          <w:color w:val="1F1F1F"/>
          <w:sz w:val="24"/>
          <w:szCs w:val="24"/>
          <w:lang w:val="en" w:eastAsia="en-GB"/>
        </w:rPr>
      </w:pPr>
      <w:r>
        <w:rPr>
          <w:rFonts w:eastAsia="Times New Roman" w:cs="Arial"/>
          <w:color w:val="1F1F1F"/>
          <w:sz w:val="24"/>
          <w:szCs w:val="24"/>
          <w:lang w:val="en" w:eastAsia="en-GB"/>
        </w:rPr>
        <w:t>The Minister</w:t>
      </w:r>
      <w:r w:rsidRPr="001679B8">
        <w:rPr>
          <w:rFonts w:eastAsia="Times New Roman" w:cs="Arial"/>
          <w:color w:val="1F1F1F"/>
          <w:sz w:val="24"/>
          <w:szCs w:val="24"/>
          <w:lang w:val="en" w:eastAsia="en-GB"/>
        </w:rPr>
        <w:t xml:space="preserve"> decided to establish a Ministerial Ambulance Availability Taskforce to lead:</w:t>
      </w:r>
    </w:p>
    <w:p w:rsidR="003203BE" w:rsidRPr="001679B8" w:rsidRDefault="003203BE" w:rsidP="00B9706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Arial"/>
          <w:color w:val="1F1F1F"/>
          <w:sz w:val="24"/>
          <w:szCs w:val="24"/>
          <w:lang w:val="en" w:eastAsia="en-GB"/>
        </w:rPr>
      </w:pPr>
      <w:r w:rsidRPr="001679B8">
        <w:rPr>
          <w:rFonts w:eastAsia="Times New Roman" w:cs="Arial"/>
          <w:color w:val="1F1F1F"/>
          <w:sz w:val="24"/>
          <w:szCs w:val="24"/>
          <w:lang w:val="en" w:eastAsia="en-GB"/>
        </w:rPr>
        <w:t>implementation of recommendations from a recently commissioned independent “Demand and Capacity” review</w:t>
      </w:r>
    </w:p>
    <w:p w:rsidR="003203BE" w:rsidRPr="001679B8" w:rsidRDefault="003203BE" w:rsidP="00B9706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Arial"/>
          <w:color w:val="1F1F1F"/>
          <w:sz w:val="24"/>
          <w:szCs w:val="24"/>
          <w:lang w:val="en" w:eastAsia="en-GB"/>
        </w:rPr>
      </w:pPr>
      <w:r w:rsidRPr="001679B8">
        <w:rPr>
          <w:rFonts w:eastAsia="Times New Roman" w:cs="Arial"/>
          <w:color w:val="1F1F1F"/>
          <w:sz w:val="24"/>
          <w:szCs w:val="24"/>
          <w:lang w:val="en" w:eastAsia="en-GB"/>
        </w:rPr>
        <w:t>rapid delivery of alternative pathways and community-based solutions to prevent avoidable conveyance to emergency departments</w:t>
      </w:r>
    </w:p>
    <w:p w:rsidR="003203BE" w:rsidRPr="001679B8" w:rsidRDefault="003203BE" w:rsidP="00B9706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Arial"/>
          <w:color w:val="1F1F1F"/>
          <w:sz w:val="24"/>
          <w:szCs w:val="24"/>
          <w:lang w:val="en" w:eastAsia="en-GB"/>
        </w:rPr>
      </w:pPr>
      <w:proofErr w:type="spellStart"/>
      <w:r w:rsidRPr="001679B8">
        <w:rPr>
          <w:rFonts w:eastAsia="Times New Roman" w:cs="Arial"/>
          <w:color w:val="1F1F1F"/>
          <w:sz w:val="24"/>
          <w:szCs w:val="24"/>
          <w:lang w:val="en" w:eastAsia="en-GB"/>
        </w:rPr>
        <w:t>optimisation</w:t>
      </w:r>
      <w:proofErr w:type="spellEnd"/>
      <w:r w:rsidRPr="001679B8">
        <w:rPr>
          <w:rFonts w:eastAsia="Times New Roman" w:cs="Arial"/>
          <w:color w:val="1F1F1F"/>
          <w:sz w:val="24"/>
          <w:szCs w:val="24"/>
          <w:lang w:val="en" w:eastAsia="en-GB"/>
        </w:rPr>
        <w:t xml:space="preserve"> of the ambulance patient handover process</w:t>
      </w:r>
    </w:p>
    <w:p w:rsidR="003203BE" w:rsidRPr="001679B8" w:rsidRDefault="003203BE" w:rsidP="00B9706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Arial"/>
          <w:color w:val="1F1F1F"/>
          <w:sz w:val="24"/>
          <w:szCs w:val="24"/>
          <w:lang w:val="en" w:eastAsia="en-GB"/>
        </w:rPr>
      </w:pPr>
      <w:r w:rsidRPr="001679B8">
        <w:rPr>
          <w:rFonts w:eastAsia="Times New Roman" w:cs="Arial"/>
          <w:color w:val="1F1F1F"/>
          <w:sz w:val="24"/>
          <w:szCs w:val="24"/>
          <w:lang w:val="en" w:eastAsia="en-GB"/>
        </w:rPr>
        <w:t>improvement in Red performance, and</w:t>
      </w:r>
    </w:p>
    <w:p w:rsidR="003203BE" w:rsidRPr="001679B8" w:rsidRDefault="003203BE" w:rsidP="00B9706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Arial"/>
          <w:color w:val="1F1F1F"/>
          <w:sz w:val="24"/>
          <w:szCs w:val="24"/>
          <w:lang w:val="en" w:eastAsia="en-GB"/>
        </w:rPr>
      </w:pPr>
      <w:proofErr w:type="gramStart"/>
      <w:r w:rsidRPr="001679B8">
        <w:rPr>
          <w:rFonts w:eastAsia="Times New Roman" w:cs="Arial"/>
          <w:color w:val="1F1F1F"/>
          <w:sz w:val="24"/>
          <w:szCs w:val="24"/>
          <w:lang w:val="en" w:eastAsia="en-GB"/>
        </w:rPr>
        <w:t>build</w:t>
      </w:r>
      <w:proofErr w:type="gramEnd"/>
      <w:r w:rsidRPr="001679B8">
        <w:rPr>
          <w:rFonts w:eastAsia="Times New Roman" w:cs="Arial"/>
          <w:color w:val="1F1F1F"/>
          <w:sz w:val="24"/>
          <w:szCs w:val="24"/>
          <w:lang w:val="en" w:eastAsia="en-GB"/>
        </w:rPr>
        <w:t xml:space="preserve"> on progress made by the Amber Review Implementation Programme.</w:t>
      </w:r>
    </w:p>
    <w:p w:rsidR="003203BE" w:rsidRDefault="003203BE" w:rsidP="003203BE">
      <w:pPr>
        <w:spacing w:after="0" w:line="240" w:lineRule="auto"/>
        <w:rPr>
          <w:sz w:val="24"/>
        </w:rPr>
      </w:pPr>
    </w:p>
    <w:p w:rsidR="00A624A5" w:rsidRPr="003203BE" w:rsidRDefault="00A624A5" w:rsidP="003203BE">
      <w:pPr>
        <w:spacing w:after="0" w:line="240" w:lineRule="auto"/>
        <w:rPr>
          <w:b/>
          <w:sz w:val="24"/>
        </w:rPr>
      </w:pPr>
      <w:r w:rsidRPr="003203BE">
        <w:rPr>
          <w:b/>
          <w:sz w:val="24"/>
        </w:rPr>
        <w:t>Why is it important?</w:t>
      </w:r>
    </w:p>
    <w:p w:rsidR="003203BE" w:rsidRDefault="003203BE" w:rsidP="003203B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Links to the ongoing work of the Emergency Ambulance Services Committee who commission emergency ambulance, non-emergency ambulance and the emergency medical retrieval and transfer service</w:t>
      </w:r>
      <w:r w:rsidR="00B9706F">
        <w:rPr>
          <w:sz w:val="24"/>
        </w:rPr>
        <w:t>s.</w:t>
      </w:r>
    </w:p>
    <w:p w:rsidR="00B9706F" w:rsidRPr="003203BE" w:rsidRDefault="00B9706F" w:rsidP="003203B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High profile and of significant public interest.</w:t>
      </w:r>
    </w:p>
    <w:p w:rsidR="003203BE" w:rsidRPr="003203BE" w:rsidRDefault="003203BE" w:rsidP="003203BE">
      <w:pPr>
        <w:spacing w:after="0" w:line="240" w:lineRule="auto"/>
        <w:rPr>
          <w:sz w:val="24"/>
        </w:rPr>
      </w:pPr>
    </w:p>
    <w:p w:rsidR="00A624A5" w:rsidRPr="003203BE" w:rsidRDefault="00A624A5" w:rsidP="003203BE">
      <w:pPr>
        <w:spacing w:after="0" w:line="240" w:lineRule="auto"/>
        <w:rPr>
          <w:b/>
          <w:sz w:val="24"/>
        </w:rPr>
      </w:pPr>
      <w:r w:rsidRPr="003203BE">
        <w:rPr>
          <w:b/>
          <w:sz w:val="24"/>
        </w:rPr>
        <w:t>What is the impact?</w:t>
      </w:r>
    </w:p>
    <w:p w:rsidR="003203BE" w:rsidRDefault="003203BE" w:rsidP="003203B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Taskforce for asked to lead on specific areas of work including: </w:t>
      </w:r>
    </w:p>
    <w:p w:rsidR="003203BE" w:rsidRPr="003203BE" w:rsidRDefault="003203BE" w:rsidP="003203BE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03BE">
        <w:rPr>
          <w:sz w:val="24"/>
          <w:szCs w:val="24"/>
        </w:rPr>
        <w:t>Understanding and improving productivity</w:t>
      </w:r>
    </w:p>
    <w:p w:rsidR="003203BE" w:rsidRPr="003203BE" w:rsidRDefault="003203BE" w:rsidP="003203BE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03BE">
        <w:rPr>
          <w:sz w:val="24"/>
          <w:szCs w:val="24"/>
        </w:rPr>
        <w:t>Workforce, recruitment and wellbeing</w:t>
      </w:r>
    </w:p>
    <w:p w:rsidR="003203BE" w:rsidRPr="003203BE" w:rsidRDefault="003203BE" w:rsidP="003203BE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03BE">
        <w:rPr>
          <w:sz w:val="24"/>
          <w:szCs w:val="24"/>
        </w:rPr>
        <w:t>Digital change and technology in ambulance services</w:t>
      </w:r>
    </w:p>
    <w:p w:rsidR="003203BE" w:rsidRPr="003203BE" w:rsidRDefault="003203BE" w:rsidP="003203BE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03BE">
        <w:rPr>
          <w:sz w:val="24"/>
          <w:szCs w:val="24"/>
        </w:rPr>
        <w:t>Measurement for improvement.</w:t>
      </w:r>
    </w:p>
    <w:p w:rsidR="00A624A5" w:rsidRDefault="003203BE" w:rsidP="003203B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Draft report required by end of April 2020</w:t>
      </w:r>
    </w:p>
    <w:p w:rsidR="003203BE" w:rsidRPr="003203BE" w:rsidRDefault="003203BE" w:rsidP="003203B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Final Report required by the end of June 2020 (but potential to slip to Summer 2020)</w:t>
      </w:r>
    </w:p>
    <w:p w:rsidR="003203BE" w:rsidRDefault="003203BE" w:rsidP="003203BE">
      <w:pPr>
        <w:spacing w:after="0" w:line="240" w:lineRule="auto"/>
        <w:rPr>
          <w:b/>
          <w:sz w:val="24"/>
        </w:rPr>
      </w:pPr>
    </w:p>
    <w:p w:rsidR="003203BE" w:rsidRPr="003203BE" w:rsidRDefault="003203BE" w:rsidP="003203BE">
      <w:pPr>
        <w:spacing w:after="0" w:line="240" w:lineRule="auto"/>
        <w:rPr>
          <w:b/>
          <w:sz w:val="24"/>
        </w:rPr>
      </w:pPr>
      <w:r w:rsidRPr="003203BE">
        <w:rPr>
          <w:b/>
          <w:sz w:val="24"/>
        </w:rPr>
        <w:t>What progress has been made</w:t>
      </w:r>
      <w:r w:rsidR="00A624A5" w:rsidRPr="003203BE">
        <w:rPr>
          <w:b/>
          <w:sz w:val="24"/>
        </w:rPr>
        <w:t>?</w:t>
      </w:r>
    </w:p>
    <w:p w:rsidR="003203BE" w:rsidRDefault="003203BE" w:rsidP="003203B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Membership for the Taskforce agreed with Welsh Government</w:t>
      </w:r>
    </w:p>
    <w:p w:rsidR="003203BE" w:rsidRDefault="003203BE" w:rsidP="003203B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Members have now confirmed their willingness to take part</w:t>
      </w:r>
    </w:p>
    <w:p w:rsidR="00B9706F" w:rsidRDefault="003203BE" w:rsidP="003203B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Working on the meeting dates, anticipating 4-5 meetings before the summer</w:t>
      </w:r>
    </w:p>
    <w:p w:rsidR="00B9706F" w:rsidRDefault="00B9706F" w:rsidP="003203B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Project plan being developed, structured approach</w:t>
      </w:r>
    </w:p>
    <w:p w:rsidR="00B9706F" w:rsidRDefault="00B9706F" w:rsidP="003203B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Communications and engagement plan being developed to include key stakeholders</w:t>
      </w:r>
    </w:p>
    <w:p w:rsidR="00B9706F" w:rsidRDefault="00B9706F" w:rsidP="003203B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Terms of Reference drafted for approval by the Taskforce</w:t>
      </w:r>
    </w:p>
    <w:p w:rsidR="00B9706F" w:rsidRDefault="00B9706F" w:rsidP="003203B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Literary review in progress; aim to develop report and technical document</w:t>
      </w:r>
    </w:p>
    <w:p w:rsidR="00B9706F" w:rsidRDefault="00B9706F" w:rsidP="003203B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Important to horizon scan and capture risks within the NHS system</w:t>
      </w:r>
    </w:p>
    <w:p w:rsidR="00B9706F" w:rsidRDefault="00B9706F" w:rsidP="003203B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Enablers and areas which underpin the work being identified</w:t>
      </w:r>
    </w:p>
    <w:p w:rsidR="00B9706F" w:rsidRDefault="00B9706F" w:rsidP="003203B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Aiming to use meetings which are already in place</w:t>
      </w:r>
    </w:p>
    <w:p w:rsidR="00B9706F" w:rsidRDefault="00B9706F" w:rsidP="00B9706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Products required: Steering Group terms of reference; timeline;</w:t>
      </w:r>
      <w:r w:rsidRPr="00B9706F">
        <w:rPr>
          <w:sz w:val="24"/>
        </w:rPr>
        <w:t xml:space="preserve"> </w:t>
      </w:r>
      <w:r>
        <w:rPr>
          <w:sz w:val="24"/>
        </w:rPr>
        <w:t>glossary of terms;</w:t>
      </w:r>
    </w:p>
    <w:p w:rsidR="00B9706F" w:rsidRDefault="00B9706F" w:rsidP="00B9706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Need information from health boards re alternative pathways; links to social care; potential to develop once for Wales solutions</w:t>
      </w:r>
    </w:p>
    <w:p w:rsidR="00B9706F" w:rsidRPr="00B9706F" w:rsidRDefault="00B9706F" w:rsidP="00B9706F">
      <w:pPr>
        <w:pStyle w:val="ListParagraph"/>
        <w:spacing w:after="0" w:line="240" w:lineRule="auto"/>
        <w:rPr>
          <w:sz w:val="14"/>
        </w:rPr>
      </w:pPr>
    </w:p>
    <w:p w:rsidR="00A624A5" w:rsidRPr="003203BE" w:rsidRDefault="00A624A5" w:rsidP="003203BE">
      <w:pPr>
        <w:spacing w:after="0" w:line="240" w:lineRule="auto"/>
        <w:rPr>
          <w:b/>
          <w:sz w:val="24"/>
        </w:rPr>
      </w:pPr>
      <w:r w:rsidRPr="003203BE">
        <w:rPr>
          <w:b/>
          <w:sz w:val="24"/>
        </w:rPr>
        <w:t>Useful resources</w:t>
      </w:r>
    </w:p>
    <w:p w:rsidR="003203BE" w:rsidRPr="003203BE" w:rsidRDefault="00670D21">
      <w:pPr>
        <w:spacing w:after="0" w:line="240" w:lineRule="auto"/>
        <w:rPr>
          <w:sz w:val="24"/>
        </w:rPr>
      </w:pPr>
      <w:hyperlink r:id="rId5" w:history="1">
        <w:r w:rsidR="003203BE" w:rsidRPr="00C07260">
          <w:rPr>
            <w:rStyle w:val="Hyperlink"/>
            <w:sz w:val="20"/>
            <w:szCs w:val="20"/>
            <w:shd w:val="clear" w:color="auto" w:fill="auto"/>
          </w:rPr>
          <w:t>https://gov.wales/written-statement-update-unscheduled-care-pressures-over-winter-201920-and-next-steps-improve</w:t>
        </w:r>
      </w:hyperlink>
      <w:r w:rsidR="003203BE">
        <w:rPr>
          <w:b/>
          <w:color w:val="000000" w:themeColor="text1"/>
          <w:sz w:val="20"/>
          <w:szCs w:val="20"/>
        </w:rPr>
        <w:t xml:space="preserve">  </w:t>
      </w:r>
      <w:r w:rsidR="003203BE" w:rsidRPr="003203BE">
        <w:rPr>
          <w:rFonts w:ascii="Verdana" w:hAnsi="Verdana"/>
          <w:b/>
          <w:sz w:val="24"/>
          <w:szCs w:val="24"/>
        </w:rPr>
        <w:t xml:space="preserve"> </w:t>
      </w:r>
    </w:p>
    <w:sectPr w:rsidR="003203BE" w:rsidRPr="003203BE" w:rsidSect="00B9706F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6AAA"/>
    <w:multiLevelType w:val="multilevel"/>
    <w:tmpl w:val="B7A262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17AA4"/>
    <w:multiLevelType w:val="hybridMultilevel"/>
    <w:tmpl w:val="96E4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C4CD0"/>
    <w:multiLevelType w:val="multilevel"/>
    <w:tmpl w:val="0896B44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82D19"/>
    <w:multiLevelType w:val="hybridMultilevel"/>
    <w:tmpl w:val="B7B2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80FD5"/>
    <w:multiLevelType w:val="hybridMultilevel"/>
    <w:tmpl w:val="0F4A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A5"/>
    <w:rsid w:val="003203BE"/>
    <w:rsid w:val="00390BFC"/>
    <w:rsid w:val="00670D21"/>
    <w:rsid w:val="006A35C5"/>
    <w:rsid w:val="00A624A5"/>
    <w:rsid w:val="00B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12E1F-7465-4209-9B2B-08A248CF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3BE"/>
    <w:rPr>
      <w:b/>
      <w:bCs/>
      <w:strike w:val="0"/>
      <w:dstrike w:val="0"/>
      <w:color w:val="0360A6"/>
      <w:u w:val="none"/>
      <w:effect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32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wales/written-statement-update-unscheduled-care-pressures-over-winter-201920-and-next-steps-impro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Glamorgan NHS Trust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Gwenan Roberts (CTUHB - NCCU Corporate Services)</dc:creator>
  <cp:keywords/>
  <dc:description/>
  <cp:lastModifiedBy>Gwenan Roberts (CTUHB - NCCU Corporate Services)</cp:lastModifiedBy>
  <cp:revision>2</cp:revision>
  <dcterms:created xsi:type="dcterms:W3CDTF">2020-03-03T14:25:00Z</dcterms:created>
  <dcterms:modified xsi:type="dcterms:W3CDTF">2020-03-03T14:25:00Z</dcterms:modified>
</cp:coreProperties>
</file>