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E753C" w14:textId="77777777" w:rsidR="00D50397" w:rsidRPr="007545A5" w:rsidRDefault="002F40D7" w:rsidP="007545A5">
      <w:pPr>
        <w:spacing w:after="0" w:line="240" w:lineRule="auto"/>
        <w:jc w:val="center"/>
        <w:rPr>
          <w:b/>
          <w:sz w:val="24"/>
          <w:szCs w:val="24"/>
        </w:rPr>
      </w:pPr>
      <w:bookmarkStart w:id="0" w:name="_GoBack"/>
      <w:bookmarkEnd w:id="0"/>
      <w:r w:rsidRPr="007545A5">
        <w:rPr>
          <w:b/>
          <w:sz w:val="24"/>
          <w:szCs w:val="24"/>
        </w:rPr>
        <w:t xml:space="preserve">Emergency Ambulance Services Committee – </w:t>
      </w:r>
      <w:r w:rsidR="009C519D" w:rsidRPr="007545A5">
        <w:rPr>
          <w:b/>
          <w:sz w:val="24"/>
          <w:szCs w:val="24"/>
        </w:rPr>
        <w:t>Emergency Medical Retrieval and Transfer Service</w:t>
      </w:r>
      <w:r w:rsidRPr="007545A5">
        <w:rPr>
          <w:b/>
          <w:sz w:val="24"/>
          <w:szCs w:val="24"/>
        </w:rPr>
        <w:t xml:space="preserve"> </w:t>
      </w:r>
      <w:r w:rsidR="004F4738">
        <w:rPr>
          <w:b/>
          <w:sz w:val="24"/>
          <w:szCs w:val="24"/>
        </w:rPr>
        <w:t>Commissioning Intentions 2022-23</w:t>
      </w:r>
    </w:p>
    <w:p w14:paraId="0AC45BDD" w14:textId="77777777" w:rsidR="007545A5" w:rsidRDefault="007545A5" w:rsidP="007545A5">
      <w:pPr>
        <w:spacing w:after="0" w:line="240" w:lineRule="auto"/>
        <w:jc w:val="both"/>
        <w:rPr>
          <w:sz w:val="24"/>
          <w:szCs w:val="24"/>
        </w:rPr>
      </w:pPr>
    </w:p>
    <w:p w14:paraId="2A04D154" w14:textId="77777777" w:rsidR="00F32266" w:rsidRPr="007545A5" w:rsidRDefault="00F32266" w:rsidP="007545A5">
      <w:pPr>
        <w:spacing w:after="0" w:line="240" w:lineRule="auto"/>
        <w:jc w:val="both"/>
        <w:rPr>
          <w:sz w:val="24"/>
          <w:szCs w:val="24"/>
        </w:rPr>
      </w:pPr>
      <w:r w:rsidRPr="007545A5">
        <w:rPr>
          <w:sz w:val="24"/>
          <w:szCs w:val="24"/>
        </w:rPr>
        <w:t xml:space="preserve">This document sets out the approach and guiding principles to the Commissioning Intentions for </w:t>
      </w:r>
      <w:r w:rsidR="009C519D" w:rsidRPr="007545A5">
        <w:rPr>
          <w:sz w:val="24"/>
          <w:szCs w:val="24"/>
        </w:rPr>
        <w:t>the Emergency Medical Retrieval and Transfer Service</w:t>
      </w:r>
      <w:r w:rsidR="00995841" w:rsidRPr="007545A5">
        <w:rPr>
          <w:sz w:val="24"/>
          <w:szCs w:val="24"/>
        </w:rPr>
        <w:t xml:space="preserve"> (</w:t>
      </w:r>
      <w:r w:rsidR="009C519D" w:rsidRPr="007545A5">
        <w:rPr>
          <w:sz w:val="24"/>
          <w:szCs w:val="24"/>
        </w:rPr>
        <w:t>EMRTS)</w:t>
      </w:r>
      <w:r w:rsidRPr="007545A5">
        <w:rPr>
          <w:sz w:val="24"/>
          <w:szCs w:val="24"/>
        </w:rPr>
        <w:t xml:space="preserve"> for the period 202</w:t>
      </w:r>
      <w:r w:rsidR="004F4738">
        <w:rPr>
          <w:sz w:val="24"/>
          <w:szCs w:val="24"/>
        </w:rPr>
        <w:t>2-23</w:t>
      </w:r>
      <w:r w:rsidRPr="007545A5">
        <w:rPr>
          <w:sz w:val="24"/>
          <w:szCs w:val="24"/>
        </w:rPr>
        <w:t xml:space="preserve"> and beyond.</w:t>
      </w:r>
    </w:p>
    <w:p w14:paraId="15DF4528" w14:textId="77777777" w:rsidR="007545A5" w:rsidRDefault="007545A5" w:rsidP="007545A5">
      <w:pPr>
        <w:spacing w:after="0" w:line="240" w:lineRule="auto"/>
        <w:jc w:val="both"/>
        <w:rPr>
          <w:sz w:val="24"/>
          <w:szCs w:val="24"/>
        </w:rPr>
      </w:pPr>
    </w:p>
    <w:p w14:paraId="316CC781" w14:textId="3E4B4FCF" w:rsidR="00F32266" w:rsidRPr="007545A5" w:rsidRDefault="00F32266" w:rsidP="007545A5">
      <w:pPr>
        <w:spacing w:after="0" w:line="240" w:lineRule="auto"/>
        <w:jc w:val="both"/>
        <w:rPr>
          <w:sz w:val="24"/>
          <w:szCs w:val="24"/>
        </w:rPr>
      </w:pPr>
      <w:r w:rsidRPr="007545A5">
        <w:rPr>
          <w:sz w:val="24"/>
          <w:szCs w:val="24"/>
        </w:rPr>
        <w:t xml:space="preserve">These intentions aim to reflect the </w:t>
      </w:r>
      <w:r w:rsidR="00144978">
        <w:rPr>
          <w:sz w:val="24"/>
          <w:szCs w:val="24"/>
        </w:rPr>
        <w:t xml:space="preserve">strategic </w:t>
      </w:r>
      <w:r w:rsidRPr="007545A5">
        <w:rPr>
          <w:sz w:val="24"/>
          <w:szCs w:val="24"/>
        </w:rPr>
        <w:t>direction from Committee members to limit the additional asks on commissioned organisations this year including</w:t>
      </w:r>
      <w:r w:rsidR="00414F0C">
        <w:rPr>
          <w:sz w:val="24"/>
          <w:szCs w:val="24"/>
        </w:rPr>
        <w:t>,</w:t>
      </w:r>
      <w:r w:rsidRPr="007545A5">
        <w:rPr>
          <w:sz w:val="24"/>
          <w:szCs w:val="24"/>
        </w:rPr>
        <w:t xml:space="preserve"> but not limited to</w:t>
      </w:r>
      <w:r w:rsidR="00414F0C">
        <w:rPr>
          <w:sz w:val="24"/>
          <w:szCs w:val="24"/>
        </w:rPr>
        <w:t>,</w:t>
      </w:r>
      <w:r w:rsidRPr="007545A5">
        <w:rPr>
          <w:sz w:val="24"/>
          <w:szCs w:val="24"/>
        </w:rPr>
        <w:t xml:space="preserve"> minimising meetings, reporting and developments in order to allow for </w:t>
      </w:r>
      <w:r w:rsidR="00144978">
        <w:rPr>
          <w:sz w:val="24"/>
          <w:szCs w:val="24"/>
        </w:rPr>
        <w:t xml:space="preserve">EMRTS </w:t>
      </w:r>
      <w:r w:rsidRPr="007545A5">
        <w:rPr>
          <w:sz w:val="24"/>
          <w:szCs w:val="24"/>
        </w:rPr>
        <w:t xml:space="preserve">to focus on </w:t>
      </w:r>
      <w:r w:rsidR="00144978">
        <w:rPr>
          <w:sz w:val="24"/>
          <w:szCs w:val="24"/>
        </w:rPr>
        <w:t>consolidating following recent service expansion projects and embracing the findings of the EMRTS Service Evaluation</w:t>
      </w:r>
      <w:r w:rsidRPr="007545A5">
        <w:rPr>
          <w:sz w:val="24"/>
          <w:szCs w:val="24"/>
        </w:rPr>
        <w:t xml:space="preserve">.  </w:t>
      </w:r>
    </w:p>
    <w:p w14:paraId="352E6DA4" w14:textId="77777777" w:rsidR="007545A5" w:rsidRDefault="007545A5" w:rsidP="007545A5">
      <w:pPr>
        <w:spacing w:after="0" w:line="240" w:lineRule="auto"/>
        <w:jc w:val="both"/>
        <w:rPr>
          <w:sz w:val="24"/>
          <w:szCs w:val="24"/>
        </w:rPr>
      </w:pPr>
    </w:p>
    <w:p w14:paraId="5B87CB78" w14:textId="4D948990" w:rsidR="00F32266" w:rsidRPr="007545A5" w:rsidRDefault="00F32266" w:rsidP="007545A5">
      <w:pPr>
        <w:spacing w:after="0" w:line="240" w:lineRule="auto"/>
        <w:jc w:val="both"/>
        <w:rPr>
          <w:b/>
          <w:i/>
          <w:sz w:val="24"/>
          <w:szCs w:val="24"/>
        </w:rPr>
      </w:pPr>
      <w:r w:rsidRPr="007545A5">
        <w:rPr>
          <w:b/>
          <w:i/>
          <w:sz w:val="24"/>
          <w:szCs w:val="24"/>
        </w:rPr>
        <w:t xml:space="preserve">These intentions are not intended to set out all activity that will be undertaken this year by commissioners or the provider, but to provide a clear indication of the priorities of the Committee for the </w:t>
      </w:r>
      <w:r w:rsidR="009C519D" w:rsidRPr="007545A5">
        <w:rPr>
          <w:b/>
          <w:i/>
          <w:sz w:val="24"/>
          <w:szCs w:val="24"/>
        </w:rPr>
        <w:t>Emergency Medical Retrieval and Transfer Service</w:t>
      </w:r>
      <w:r w:rsidRPr="007545A5">
        <w:rPr>
          <w:b/>
          <w:i/>
          <w:sz w:val="24"/>
          <w:szCs w:val="24"/>
        </w:rPr>
        <w:t xml:space="preserve"> for 202</w:t>
      </w:r>
      <w:r w:rsidR="004F4738">
        <w:rPr>
          <w:b/>
          <w:i/>
          <w:sz w:val="24"/>
          <w:szCs w:val="24"/>
        </w:rPr>
        <w:t>2-23</w:t>
      </w:r>
      <w:r w:rsidRPr="007545A5">
        <w:rPr>
          <w:b/>
          <w:i/>
          <w:sz w:val="24"/>
          <w:szCs w:val="24"/>
        </w:rPr>
        <w:t xml:space="preserve">.  </w:t>
      </w:r>
    </w:p>
    <w:p w14:paraId="0395A43F" w14:textId="77777777" w:rsidR="007545A5" w:rsidRDefault="007545A5" w:rsidP="007545A5">
      <w:pPr>
        <w:spacing w:after="0" w:line="240" w:lineRule="auto"/>
        <w:rPr>
          <w:sz w:val="24"/>
          <w:szCs w:val="24"/>
        </w:rPr>
      </w:pPr>
    </w:p>
    <w:p w14:paraId="0772F48E" w14:textId="77777777" w:rsidR="00F32266" w:rsidRPr="007545A5" w:rsidRDefault="00F32266" w:rsidP="007545A5">
      <w:pPr>
        <w:pStyle w:val="Heading2"/>
        <w:spacing w:before="0" w:line="240" w:lineRule="auto"/>
        <w:rPr>
          <w:sz w:val="24"/>
          <w:szCs w:val="24"/>
        </w:rPr>
      </w:pPr>
      <w:r w:rsidRPr="007545A5">
        <w:rPr>
          <w:sz w:val="24"/>
          <w:szCs w:val="24"/>
        </w:rPr>
        <w:t>Guiding Principles for 202</w:t>
      </w:r>
      <w:r w:rsidR="004F4738">
        <w:rPr>
          <w:sz w:val="24"/>
          <w:szCs w:val="24"/>
        </w:rPr>
        <w:t>2-23</w:t>
      </w:r>
    </w:p>
    <w:p w14:paraId="601CA92D" w14:textId="77777777" w:rsidR="00144978" w:rsidRPr="001B31C6" w:rsidRDefault="00144978" w:rsidP="00144978">
      <w:pPr>
        <w:pStyle w:val="ListParagraph"/>
        <w:numPr>
          <w:ilvl w:val="0"/>
          <w:numId w:val="1"/>
        </w:numPr>
        <w:spacing w:line="276" w:lineRule="auto"/>
        <w:rPr>
          <w:sz w:val="24"/>
          <w:szCs w:val="24"/>
        </w:rPr>
      </w:pPr>
      <w:r w:rsidRPr="001B31C6">
        <w:rPr>
          <w:sz w:val="24"/>
          <w:szCs w:val="24"/>
        </w:rPr>
        <w:t>Intentions will:</w:t>
      </w:r>
    </w:p>
    <w:p w14:paraId="46930906" w14:textId="77777777" w:rsidR="00144978" w:rsidRPr="001B31C6" w:rsidRDefault="00144978" w:rsidP="00144978">
      <w:pPr>
        <w:pStyle w:val="ListParagraph"/>
        <w:numPr>
          <w:ilvl w:val="1"/>
          <w:numId w:val="1"/>
        </w:numPr>
        <w:spacing w:line="276" w:lineRule="auto"/>
        <w:rPr>
          <w:sz w:val="24"/>
          <w:szCs w:val="24"/>
        </w:rPr>
      </w:pPr>
      <w:r>
        <w:rPr>
          <w:sz w:val="24"/>
          <w:szCs w:val="24"/>
        </w:rPr>
        <w:t>be at the strategic level</w:t>
      </w:r>
    </w:p>
    <w:p w14:paraId="11CE17AE" w14:textId="77777777" w:rsidR="00144978" w:rsidRPr="001B31C6" w:rsidRDefault="00144978" w:rsidP="00144978">
      <w:pPr>
        <w:pStyle w:val="ListParagraph"/>
        <w:numPr>
          <w:ilvl w:val="1"/>
          <w:numId w:val="1"/>
        </w:numPr>
        <w:spacing w:line="276" w:lineRule="auto"/>
        <w:rPr>
          <w:sz w:val="24"/>
          <w:szCs w:val="24"/>
        </w:rPr>
      </w:pPr>
      <w:r w:rsidRPr="001B31C6">
        <w:rPr>
          <w:sz w:val="24"/>
          <w:szCs w:val="24"/>
        </w:rPr>
        <w:t xml:space="preserve">focus on </w:t>
      </w:r>
      <w:r>
        <w:rPr>
          <w:sz w:val="24"/>
          <w:szCs w:val="24"/>
        </w:rPr>
        <w:t xml:space="preserve">outcomes, value, quality and safety of service </w:t>
      </w:r>
      <w:r w:rsidRPr="001B31C6">
        <w:rPr>
          <w:sz w:val="24"/>
          <w:szCs w:val="24"/>
        </w:rPr>
        <w:t>delivery</w:t>
      </w:r>
    </w:p>
    <w:p w14:paraId="2A6F224A" w14:textId="77777777" w:rsidR="00144978" w:rsidRPr="001B31C6" w:rsidRDefault="00144978" w:rsidP="00144978">
      <w:pPr>
        <w:pStyle w:val="ListParagraph"/>
        <w:numPr>
          <w:ilvl w:val="1"/>
          <w:numId w:val="1"/>
        </w:numPr>
        <w:spacing w:line="276" w:lineRule="auto"/>
        <w:rPr>
          <w:sz w:val="24"/>
          <w:szCs w:val="24"/>
        </w:rPr>
      </w:pPr>
      <w:r w:rsidRPr="001B31C6">
        <w:rPr>
          <w:sz w:val="24"/>
          <w:szCs w:val="24"/>
        </w:rPr>
        <w:t>support the delivery of the quadruple aims</w:t>
      </w:r>
    </w:p>
    <w:p w14:paraId="04832D94" w14:textId="5C889238" w:rsidR="00144978" w:rsidRPr="001B31C6" w:rsidRDefault="00144978" w:rsidP="00144978">
      <w:pPr>
        <w:pStyle w:val="ListParagraph"/>
        <w:numPr>
          <w:ilvl w:val="1"/>
          <w:numId w:val="1"/>
        </w:numPr>
        <w:spacing w:line="276" w:lineRule="auto"/>
        <w:rPr>
          <w:sz w:val="24"/>
          <w:szCs w:val="24"/>
        </w:rPr>
      </w:pPr>
      <w:r w:rsidRPr="001B31C6">
        <w:rPr>
          <w:sz w:val="24"/>
          <w:szCs w:val="24"/>
        </w:rPr>
        <w:t>have annually agreed aim(s), product(s) and indicator(s) that will provide an outline of what will be provided within each intention</w:t>
      </w:r>
    </w:p>
    <w:p w14:paraId="37783F30" w14:textId="77777777" w:rsidR="00144978" w:rsidRDefault="00144978" w:rsidP="00144978">
      <w:pPr>
        <w:pStyle w:val="ListParagraph"/>
        <w:numPr>
          <w:ilvl w:val="1"/>
          <w:numId w:val="1"/>
        </w:numPr>
        <w:spacing w:line="276" w:lineRule="auto"/>
        <w:rPr>
          <w:sz w:val="24"/>
          <w:szCs w:val="24"/>
        </w:rPr>
      </w:pPr>
      <w:r>
        <w:rPr>
          <w:sz w:val="24"/>
          <w:szCs w:val="24"/>
        </w:rPr>
        <w:t>ensure reasonable expectations for the improvement of EMRTS</w:t>
      </w:r>
    </w:p>
    <w:p w14:paraId="1B1CE5AA" w14:textId="77777777" w:rsidR="00144978" w:rsidRPr="001B31C6" w:rsidRDefault="00144978" w:rsidP="00144978">
      <w:pPr>
        <w:pStyle w:val="ListParagraph"/>
        <w:numPr>
          <w:ilvl w:val="1"/>
          <w:numId w:val="1"/>
        </w:numPr>
        <w:spacing w:line="276" w:lineRule="auto"/>
        <w:rPr>
          <w:sz w:val="24"/>
          <w:szCs w:val="24"/>
        </w:rPr>
      </w:pPr>
      <w:r w:rsidRPr="001B31C6">
        <w:rPr>
          <w:sz w:val="24"/>
          <w:szCs w:val="24"/>
        </w:rPr>
        <w:t>recognise the challenges of resetting in the post-</w:t>
      </w:r>
      <w:proofErr w:type="spellStart"/>
      <w:r w:rsidRPr="001B31C6">
        <w:rPr>
          <w:sz w:val="24"/>
          <w:szCs w:val="24"/>
        </w:rPr>
        <w:t>covid</w:t>
      </w:r>
      <w:proofErr w:type="spellEnd"/>
      <w:r w:rsidRPr="001B31C6">
        <w:rPr>
          <w:sz w:val="24"/>
          <w:szCs w:val="24"/>
        </w:rPr>
        <w:t xml:space="preserve"> environment and the opportunities to fast track service transformation</w:t>
      </w:r>
      <w:r>
        <w:rPr>
          <w:sz w:val="24"/>
          <w:szCs w:val="24"/>
        </w:rPr>
        <w:t xml:space="preserve"> and modernisation</w:t>
      </w:r>
    </w:p>
    <w:p w14:paraId="1BCD7C32" w14:textId="5CDB2EC5" w:rsidR="00F32266" w:rsidRPr="007545A5" w:rsidRDefault="00F32266" w:rsidP="007545A5">
      <w:pPr>
        <w:pStyle w:val="ListParagraph"/>
        <w:numPr>
          <w:ilvl w:val="0"/>
          <w:numId w:val="1"/>
        </w:numPr>
        <w:spacing w:after="0" w:line="240" w:lineRule="auto"/>
        <w:rPr>
          <w:sz w:val="24"/>
          <w:szCs w:val="24"/>
        </w:rPr>
      </w:pPr>
      <w:r w:rsidRPr="007545A5">
        <w:rPr>
          <w:sz w:val="24"/>
          <w:szCs w:val="24"/>
        </w:rPr>
        <w:t xml:space="preserve">Ongoing engagement and review between </w:t>
      </w:r>
      <w:r w:rsidR="009C519D" w:rsidRPr="007545A5">
        <w:rPr>
          <w:sz w:val="24"/>
          <w:szCs w:val="24"/>
        </w:rPr>
        <w:t>EMRTS</w:t>
      </w:r>
      <w:r w:rsidR="00144978">
        <w:rPr>
          <w:sz w:val="24"/>
          <w:szCs w:val="24"/>
        </w:rPr>
        <w:t>, c</w:t>
      </w:r>
      <w:r w:rsidRPr="007545A5">
        <w:rPr>
          <w:sz w:val="24"/>
          <w:szCs w:val="24"/>
        </w:rPr>
        <w:t xml:space="preserve">ommissioners </w:t>
      </w:r>
      <w:r w:rsidR="00144978">
        <w:rPr>
          <w:sz w:val="24"/>
          <w:szCs w:val="24"/>
        </w:rPr>
        <w:t xml:space="preserve">and Health Boards </w:t>
      </w:r>
      <w:r w:rsidRPr="007545A5">
        <w:rPr>
          <w:sz w:val="24"/>
          <w:szCs w:val="24"/>
        </w:rPr>
        <w:t xml:space="preserve">will allow the detail of each intention to be refined during the period, if required </w:t>
      </w:r>
    </w:p>
    <w:p w14:paraId="352253AB" w14:textId="77777777" w:rsidR="00F32266" w:rsidRPr="007545A5" w:rsidRDefault="00F32266" w:rsidP="007545A5">
      <w:pPr>
        <w:pStyle w:val="ListParagraph"/>
        <w:numPr>
          <w:ilvl w:val="0"/>
          <w:numId w:val="1"/>
        </w:numPr>
        <w:spacing w:after="0" w:line="240" w:lineRule="auto"/>
        <w:rPr>
          <w:sz w:val="24"/>
          <w:szCs w:val="24"/>
        </w:rPr>
      </w:pPr>
      <w:r w:rsidRPr="007545A5">
        <w:rPr>
          <w:sz w:val="24"/>
          <w:szCs w:val="24"/>
        </w:rPr>
        <w:t xml:space="preserve">Intentions will not replace or override extant requirements within the </w:t>
      </w:r>
      <w:r w:rsidR="00144978">
        <w:rPr>
          <w:sz w:val="24"/>
          <w:szCs w:val="24"/>
        </w:rPr>
        <w:t xml:space="preserve">EMRTS </w:t>
      </w:r>
      <w:r w:rsidRPr="007545A5">
        <w:rPr>
          <w:sz w:val="24"/>
          <w:szCs w:val="24"/>
        </w:rPr>
        <w:t>Quality and Delivery Framework or statutory targets or requirements</w:t>
      </w:r>
    </w:p>
    <w:p w14:paraId="4CA5018A" w14:textId="77777777" w:rsidR="00283F12" w:rsidRDefault="00283F12" w:rsidP="007545A5">
      <w:pPr>
        <w:pStyle w:val="Heading2"/>
        <w:spacing w:before="0" w:line="240" w:lineRule="auto"/>
        <w:rPr>
          <w:sz w:val="24"/>
          <w:szCs w:val="24"/>
        </w:rPr>
      </w:pPr>
    </w:p>
    <w:p w14:paraId="00F0A83B" w14:textId="627564B3" w:rsidR="00F32266" w:rsidRPr="007545A5" w:rsidRDefault="00F32266" w:rsidP="007545A5">
      <w:pPr>
        <w:pStyle w:val="Heading2"/>
        <w:spacing w:before="0" w:line="240" w:lineRule="auto"/>
        <w:rPr>
          <w:sz w:val="24"/>
          <w:szCs w:val="24"/>
        </w:rPr>
      </w:pPr>
      <w:r w:rsidRPr="007545A5">
        <w:rPr>
          <w:sz w:val="24"/>
          <w:szCs w:val="24"/>
        </w:rPr>
        <w:t>Development and monitoring</w:t>
      </w:r>
    </w:p>
    <w:p w14:paraId="162B80FB" w14:textId="77777777" w:rsidR="00811938" w:rsidRPr="00824126" w:rsidRDefault="00811938" w:rsidP="00811938">
      <w:pPr>
        <w:pStyle w:val="ListParagraph"/>
        <w:numPr>
          <w:ilvl w:val="0"/>
          <w:numId w:val="12"/>
        </w:numPr>
        <w:spacing w:line="276" w:lineRule="auto"/>
        <w:rPr>
          <w:sz w:val="24"/>
          <w:szCs w:val="24"/>
        </w:rPr>
      </w:pPr>
      <w:r>
        <w:rPr>
          <w:sz w:val="24"/>
          <w:szCs w:val="24"/>
        </w:rPr>
        <w:t xml:space="preserve">In line with the agreed commissioning cycle, organisations have been asked for their </w:t>
      </w:r>
      <w:r w:rsidRPr="00370CB7">
        <w:rPr>
          <w:sz w:val="24"/>
          <w:szCs w:val="24"/>
        </w:rPr>
        <w:t>view on the priorities for next year and consequently a principle of the incremental development of existing commissioning intentions has been adopted</w:t>
      </w:r>
    </w:p>
    <w:p w14:paraId="2B72A27F" w14:textId="41FC981D" w:rsidR="00F32266" w:rsidRDefault="00D6187B" w:rsidP="007545A5">
      <w:pPr>
        <w:pStyle w:val="ListParagraph"/>
        <w:numPr>
          <w:ilvl w:val="0"/>
          <w:numId w:val="12"/>
        </w:numPr>
        <w:spacing w:after="0" w:line="240" w:lineRule="auto"/>
        <w:rPr>
          <w:sz w:val="24"/>
          <w:szCs w:val="24"/>
        </w:rPr>
      </w:pPr>
      <w:r>
        <w:rPr>
          <w:sz w:val="24"/>
          <w:szCs w:val="24"/>
        </w:rPr>
        <w:t xml:space="preserve">EASC Management Group </w:t>
      </w:r>
      <w:r w:rsidR="00F32266" w:rsidRPr="007545A5">
        <w:rPr>
          <w:sz w:val="24"/>
          <w:szCs w:val="24"/>
        </w:rPr>
        <w:t xml:space="preserve">will hold responsibility for the development and monitoring of progress against </w:t>
      </w:r>
      <w:r w:rsidR="00144978">
        <w:rPr>
          <w:sz w:val="24"/>
          <w:szCs w:val="24"/>
        </w:rPr>
        <w:t>these i</w:t>
      </w:r>
      <w:r w:rsidR="00F32266" w:rsidRPr="007545A5">
        <w:rPr>
          <w:sz w:val="24"/>
          <w:szCs w:val="24"/>
        </w:rPr>
        <w:t>ntentions to ensure the strategic intent is achieved</w:t>
      </w:r>
    </w:p>
    <w:p w14:paraId="126460B6" w14:textId="0624FADA" w:rsidR="00880B90" w:rsidRPr="007545A5" w:rsidRDefault="00880B90" w:rsidP="007545A5">
      <w:pPr>
        <w:pStyle w:val="ListParagraph"/>
        <w:numPr>
          <w:ilvl w:val="0"/>
          <w:numId w:val="12"/>
        </w:numPr>
        <w:spacing w:after="0" w:line="240" w:lineRule="auto"/>
        <w:rPr>
          <w:sz w:val="24"/>
          <w:szCs w:val="24"/>
        </w:rPr>
      </w:pPr>
      <w:r>
        <w:rPr>
          <w:sz w:val="24"/>
          <w:szCs w:val="24"/>
        </w:rPr>
        <w:t>Regular updates will be provided to the EMRTS DAG</w:t>
      </w:r>
    </w:p>
    <w:p w14:paraId="4B4CFF93" w14:textId="763E375F" w:rsidR="00F32266" w:rsidRPr="00283F12" w:rsidRDefault="006E059B" w:rsidP="00283F12">
      <w:pPr>
        <w:pStyle w:val="ListParagraph"/>
        <w:numPr>
          <w:ilvl w:val="0"/>
          <w:numId w:val="12"/>
        </w:numPr>
        <w:spacing w:after="0" w:line="240" w:lineRule="auto"/>
        <w:rPr>
          <w:sz w:val="24"/>
          <w:szCs w:val="24"/>
        </w:rPr>
      </w:pPr>
      <w:r w:rsidRPr="006E059B">
        <w:rPr>
          <w:sz w:val="24"/>
          <w:szCs w:val="24"/>
        </w:rPr>
        <w:t xml:space="preserve">Future intentions will continue to be developed in a collaborative and timely manner in line with the agreed </w:t>
      </w:r>
      <w:r w:rsidR="00F32266" w:rsidRPr="00910CE9">
        <w:rPr>
          <w:sz w:val="24"/>
          <w:szCs w:val="24"/>
        </w:rPr>
        <w:t>commissioning cycle</w:t>
      </w:r>
    </w:p>
    <w:p w14:paraId="63F58883" w14:textId="77777777" w:rsidR="00607E90" w:rsidRPr="007545A5" w:rsidRDefault="00607E90" w:rsidP="007545A5">
      <w:pPr>
        <w:spacing w:after="0" w:line="240" w:lineRule="auto"/>
        <w:rPr>
          <w:sz w:val="24"/>
          <w:szCs w:val="24"/>
        </w:rPr>
      </w:pPr>
    </w:p>
    <w:p w14:paraId="5D82E8D2" w14:textId="77777777" w:rsidR="00BA25EB" w:rsidRDefault="00BA25EB">
      <w:pPr>
        <w:rPr>
          <w:b/>
          <w:color w:val="5B9BD5" w:themeColor="accent1"/>
          <w:sz w:val="24"/>
          <w:szCs w:val="24"/>
        </w:rPr>
      </w:pPr>
      <w:r>
        <w:rPr>
          <w:b/>
          <w:color w:val="5B9BD5" w:themeColor="accent1"/>
          <w:sz w:val="24"/>
          <w:szCs w:val="24"/>
        </w:rPr>
        <w:br w:type="page"/>
      </w:r>
    </w:p>
    <w:tbl>
      <w:tblPr>
        <w:tblStyle w:val="TableGrid"/>
        <w:tblW w:w="14029" w:type="dxa"/>
        <w:tblLook w:val="04A0" w:firstRow="1" w:lastRow="0" w:firstColumn="1" w:lastColumn="0" w:noHBand="0" w:noVBand="1"/>
      </w:tblPr>
      <w:tblGrid>
        <w:gridCol w:w="1271"/>
        <w:gridCol w:w="12758"/>
      </w:tblGrid>
      <w:tr w:rsidR="005430E3" w14:paraId="1D15C0B6" w14:textId="77777777" w:rsidTr="0026299A">
        <w:tc>
          <w:tcPr>
            <w:tcW w:w="14029" w:type="dxa"/>
            <w:gridSpan w:val="2"/>
            <w:shd w:val="clear" w:color="auto" w:fill="1F3864" w:themeFill="accent5" w:themeFillShade="80"/>
          </w:tcPr>
          <w:p w14:paraId="38EAA702" w14:textId="1348BC9C" w:rsidR="005430E3" w:rsidRPr="009D7037" w:rsidRDefault="005430E3" w:rsidP="005430E3">
            <w:pPr>
              <w:rPr>
                <w:b/>
                <w:sz w:val="28"/>
              </w:rPr>
            </w:pPr>
            <w:r>
              <w:rPr>
                <w:b/>
                <w:sz w:val="28"/>
              </w:rPr>
              <w:lastRenderedPageBreak/>
              <w:t xml:space="preserve">EMRTS </w:t>
            </w:r>
            <w:r w:rsidRPr="009D7037">
              <w:rPr>
                <w:b/>
                <w:sz w:val="28"/>
              </w:rPr>
              <w:t>Commissioning Intention – CI</w:t>
            </w:r>
            <w:r>
              <w:rPr>
                <w:b/>
                <w:sz w:val="28"/>
              </w:rPr>
              <w:t>1</w:t>
            </w:r>
            <w:r w:rsidRPr="009D7037">
              <w:rPr>
                <w:b/>
                <w:sz w:val="28"/>
              </w:rPr>
              <w:t xml:space="preserve">: </w:t>
            </w:r>
            <w:r>
              <w:rPr>
                <w:b/>
                <w:sz w:val="28"/>
              </w:rPr>
              <w:t>Service Expansion</w:t>
            </w:r>
          </w:p>
        </w:tc>
      </w:tr>
      <w:tr w:rsidR="005430E3" w:rsidRPr="009D7037" w14:paraId="449F9C3D" w14:textId="77777777" w:rsidTr="0026299A">
        <w:tc>
          <w:tcPr>
            <w:tcW w:w="1271" w:type="dxa"/>
            <w:shd w:val="clear" w:color="auto" w:fill="auto"/>
          </w:tcPr>
          <w:p w14:paraId="5831A44F" w14:textId="616D8222" w:rsidR="005430E3" w:rsidRPr="009D7037" w:rsidRDefault="005430E3" w:rsidP="005430E3">
            <w:pPr>
              <w:rPr>
                <w:b/>
              </w:rPr>
            </w:pPr>
            <w:r>
              <w:rPr>
                <w:b/>
                <w:sz w:val="24"/>
                <w:szCs w:val="24"/>
              </w:rPr>
              <w:t>CI1a</w:t>
            </w:r>
          </w:p>
        </w:tc>
        <w:tc>
          <w:tcPr>
            <w:tcW w:w="12758" w:type="dxa"/>
            <w:shd w:val="clear" w:color="auto" w:fill="auto"/>
          </w:tcPr>
          <w:p w14:paraId="33F120BC" w14:textId="5F9ACA98" w:rsidR="005430E3" w:rsidRDefault="005430E3" w:rsidP="005430E3">
            <w:pPr>
              <w:rPr>
                <w:b/>
                <w:sz w:val="24"/>
                <w:szCs w:val="24"/>
              </w:rPr>
            </w:pPr>
            <w:r>
              <w:rPr>
                <w:b/>
                <w:sz w:val="24"/>
                <w:szCs w:val="24"/>
              </w:rPr>
              <w:t>Enhanced CCP-led response</w:t>
            </w:r>
            <w:r w:rsidRPr="00FF03CF">
              <w:rPr>
                <w:sz w:val="24"/>
                <w:szCs w:val="24"/>
              </w:rPr>
              <w:t xml:space="preserve"> </w:t>
            </w:r>
            <w:r>
              <w:rPr>
                <w:sz w:val="24"/>
                <w:szCs w:val="24"/>
              </w:rPr>
              <w:t>–</w:t>
            </w:r>
            <w:r w:rsidRPr="00FF03CF">
              <w:rPr>
                <w:sz w:val="24"/>
                <w:szCs w:val="24"/>
              </w:rPr>
              <w:t xml:space="preserve"> </w:t>
            </w:r>
            <w:r>
              <w:rPr>
                <w:sz w:val="24"/>
                <w:szCs w:val="24"/>
              </w:rPr>
              <w:t>Building on the findings of recent winter initiatives and demand and capacity planning undertaken within the service, support the implementation of an enhanced daytime response that will ensure more effective use of resources, improve service quality and the patient experience and provide opportunities for workforce development.</w:t>
            </w:r>
          </w:p>
          <w:p w14:paraId="61DF0A6B" w14:textId="77777777" w:rsidR="005430E3" w:rsidRPr="005430E3" w:rsidRDefault="005430E3" w:rsidP="0026299A">
            <w:pPr>
              <w:rPr>
                <w:b/>
                <w:sz w:val="12"/>
                <w:szCs w:val="12"/>
              </w:rPr>
            </w:pPr>
          </w:p>
        </w:tc>
      </w:tr>
      <w:tr w:rsidR="005430E3" w:rsidRPr="009D7037" w14:paraId="77FD0B25" w14:textId="77777777" w:rsidTr="0026299A">
        <w:tc>
          <w:tcPr>
            <w:tcW w:w="1271" w:type="dxa"/>
            <w:shd w:val="clear" w:color="auto" w:fill="auto"/>
          </w:tcPr>
          <w:p w14:paraId="3A39A32E" w14:textId="5EB2D265" w:rsidR="005430E3" w:rsidRPr="008F007B" w:rsidRDefault="005430E3" w:rsidP="0026299A">
            <w:r>
              <w:rPr>
                <w:b/>
                <w:sz w:val="24"/>
                <w:szCs w:val="24"/>
              </w:rPr>
              <w:t>CI1</w:t>
            </w:r>
            <w:r w:rsidRPr="004432E7">
              <w:rPr>
                <w:b/>
                <w:sz w:val="24"/>
                <w:szCs w:val="24"/>
              </w:rPr>
              <w:t>b</w:t>
            </w:r>
          </w:p>
        </w:tc>
        <w:tc>
          <w:tcPr>
            <w:tcW w:w="12758" w:type="dxa"/>
            <w:shd w:val="clear" w:color="auto" w:fill="auto"/>
          </w:tcPr>
          <w:p w14:paraId="6236B3E4" w14:textId="77777777" w:rsidR="005430E3" w:rsidRDefault="005430E3" w:rsidP="0026299A">
            <w:pPr>
              <w:rPr>
                <w:sz w:val="24"/>
                <w:szCs w:val="24"/>
              </w:rPr>
            </w:pPr>
            <w:r w:rsidRPr="007545A5">
              <w:rPr>
                <w:b/>
                <w:sz w:val="24"/>
                <w:szCs w:val="24"/>
              </w:rPr>
              <w:t>Planning</w:t>
            </w:r>
            <w:r w:rsidRPr="007545A5">
              <w:rPr>
                <w:sz w:val="24"/>
                <w:szCs w:val="24"/>
              </w:rPr>
              <w:t xml:space="preserve"> – Build on the implementation and consolidation of Phase 1</w:t>
            </w:r>
            <w:r>
              <w:rPr>
                <w:sz w:val="24"/>
                <w:szCs w:val="24"/>
              </w:rPr>
              <w:t xml:space="preserve"> of the EMRTS Service Expansion project</w:t>
            </w:r>
            <w:r w:rsidRPr="007545A5">
              <w:rPr>
                <w:sz w:val="24"/>
                <w:szCs w:val="24"/>
              </w:rPr>
              <w:t xml:space="preserve">, working collaboratively </w:t>
            </w:r>
            <w:r>
              <w:rPr>
                <w:sz w:val="24"/>
                <w:szCs w:val="24"/>
              </w:rPr>
              <w:t xml:space="preserve">with commissioners </w:t>
            </w:r>
            <w:r w:rsidRPr="007545A5">
              <w:rPr>
                <w:sz w:val="24"/>
                <w:szCs w:val="24"/>
              </w:rPr>
              <w:t>to plan the implementation of the remaining phases of the EMRTS Service Expansion programme.</w:t>
            </w:r>
          </w:p>
          <w:p w14:paraId="429562D3" w14:textId="4B284047" w:rsidR="005430E3" w:rsidRPr="005430E3" w:rsidRDefault="005430E3" w:rsidP="0026299A">
            <w:pPr>
              <w:rPr>
                <w:b/>
                <w:sz w:val="12"/>
                <w:szCs w:val="12"/>
              </w:rPr>
            </w:pPr>
          </w:p>
        </w:tc>
      </w:tr>
    </w:tbl>
    <w:p w14:paraId="1D5DF09D" w14:textId="77777777" w:rsidR="005430E3" w:rsidRDefault="005430E3" w:rsidP="007545A5">
      <w:pPr>
        <w:spacing w:after="0" w:line="240" w:lineRule="auto"/>
        <w:rPr>
          <w:b/>
          <w:color w:val="5B9BD5" w:themeColor="accent1"/>
          <w:sz w:val="24"/>
          <w:szCs w:val="24"/>
        </w:rPr>
      </w:pPr>
    </w:p>
    <w:tbl>
      <w:tblPr>
        <w:tblStyle w:val="TableGrid"/>
        <w:tblW w:w="14029" w:type="dxa"/>
        <w:tblLook w:val="04A0" w:firstRow="1" w:lastRow="0" w:firstColumn="1" w:lastColumn="0" w:noHBand="0" w:noVBand="1"/>
      </w:tblPr>
      <w:tblGrid>
        <w:gridCol w:w="1271"/>
        <w:gridCol w:w="12758"/>
      </w:tblGrid>
      <w:tr w:rsidR="005430E3" w14:paraId="33627B76" w14:textId="77777777" w:rsidTr="0026299A">
        <w:tc>
          <w:tcPr>
            <w:tcW w:w="14029" w:type="dxa"/>
            <w:gridSpan w:val="2"/>
            <w:shd w:val="clear" w:color="auto" w:fill="1F3864" w:themeFill="accent5" w:themeFillShade="80"/>
          </w:tcPr>
          <w:p w14:paraId="73342AFF" w14:textId="5D6D6008" w:rsidR="005430E3" w:rsidRPr="009D7037" w:rsidRDefault="005430E3" w:rsidP="005430E3">
            <w:pPr>
              <w:rPr>
                <w:b/>
                <w:sz w:val="28"/>
              </w:rPr>
            </w:pPr>
            <w:r>
              <w:rPr>
                <w:b/>
                <w:sz w:val="28"/>
              </w:rPr>
              <w:t xml:space="preserve">EMRTS </w:t>
            </w:r>
            <w:r w:rsidRPr="009D7037">
              <w:rPr>
                <w:b/>
                <w:sz w:val="28"/>
              </w:rPr>
              <w:t>Commissioning Intention – CI</w:t>
            </w:r>
            <w:r>
              <w:rPr>
                <w:b/>
                <w:sz w:val="28"/>
              </w:rPr>
              <w:t>2</w:t>
            </w:r>
            <w:r w:rsidRPr="009D7037">
              <w:rPr>
                <w:b/>
                <w:sz w:val="28"/>
              </w:rPr>
              <w:t xml:space="preserve">: </w:t>
            </w:r>
            <w:r w:rsidRPr="005430E3">
              <w:rPr>
                <w:b/>
                <w:sz w:val="28"/>
              </w:rPr>
              <w:t xml:space="preserve">Adult Critical Care Transfer Service </w:t>
            </w:r>
            <w:r>
              <w:rPr>
                <w:b/>
                <w:sz w:val="28"/>
              </w:rPr>
              <w:t>(ACCTS)</w:t>
            </w:r>
          </w:p>
        </w:tc>
      </w:tr>
      <w:tr w:rsidR="005430E3" w:rsidRPr="009D7037" w14:paraId="4F4D898C" w14:textId="77777777" w:rsidTr="0026299A">
        <w:tc>
          <w:tcPr>
            <w:tcW w:w="1271" w:type="dxa"/>
            <w:shd w:val="clear" w:color="auto" w:fill="auto"/>
          </w:tcPr>
          <w:p w14:paraId="64273D66" w14:textId="0A0FAA90" w:rsidR="005430E3" w:rsidRPr="009D7037" w:rsidRDefault="005430E3" w:rsidP="005430E3">
            <w:pPr>
              <w:rPr>
                <w:b/>
              </w:rPr>
            </w:pPr>
            <w:r>
              <w:rPr>
                <w:b/>
                <w:sz w:val="24"/>
                <w:szCs w:val="24"/>
              </w:rPr>
              <w:t>CI2a</w:t>
            </w:r>
          </w:p>
        </w:tc>
        <w:tc>
          <w:tcPr>
            <w:tcW w:w="12758" w:type="dxa"/>
            <w:shd w:val="clear" w:color="auto" w:fill="auto"/>
          </w:tcPr>
          <w:p w14:paraId="7304415F" w14:textId="77777777" w:rsidR="005430E3" w:rsidRDefault="005430E3" w:rsidP="005430E3">
            <w:pPr>
              <w:rPr>
                <w:sz w:val="24"/>
                <w:szCs w:val="24"/>
              </w:rPr>
            </w:pPr>
            <w:r w:rsidRPr="00283F12">
              <w:rPr>
                <w:b/>
                <w:sz w:val="24"/>
                <w:szCs w:val="24"/>
              </w:rPr>
              <w:t>Service Delivery</w:t>
            </w:r>
            <w:r w:rsidRPr="00283F12">
              <w:rPr>
                <w:sz w:val="24"/>
                <w:szCs w:val="24"/>
              </w:rPr>
              <w:t xml:space="preserve"> – The ACCTS team will continue </w:t>
            </w:r>
            <w:r>
              <w:rPr>
                <w:sz w:val="24"/>
                <w:szCs w:val="24"/>
              </w:rPr>
              <w:t xml:space="preserve">to </w:t>
            </w:r>
            <w:r w:rsidRPr="00283F12">
              <w:rPr>
                <w:sz w:val="24"/>
                <w:szCs w:val="24"/>
              </w:rPr>
              <w:t>manage ongoing service delivery and will ensure robust performance management with a focus on outcomes, value, quality and safety of service delivery</w:t>
            </w:r>
            <w:r>
              <w:rPr>
                <w:sz w:val="24"/>
                <w:szCs w:val="24"/>
              </w:rPr>
              <w:t>.</w:t>
            </w:r>
          </w:p>
          <w:p w14:paraId="42B25AAD" w14:textId="77777777" w:rsidR="005430E3" w:rsidRPr="005430E3" w:rsidRDefault="005430E3" w:rsidP="0026299A">
            <w:pPr>
              <w:rPr>
                <w:b/>
                <w:sz w:val="12"/>
                <w:szCs w:val="12"/>
              </w:rPr>
            </w:pPr>
          </w:p>
        </w:tc>
      </w:tr>
      <w:tr w:rsidR="005430E3" w:rsidRPr="009D7037" w14:paraId="45514982" w14:textId="77777777" w:rsidTr="0026299A">
        <w:tc>
          <w:tcPr>
            <w:tcW w:w="1271" w:type="dxa"/>
            <w:shd w:val="clear" w:color="auto" w:fill="auto"/>
          </w:tcPr>
          <w:p w14:paraId="1C157270" w14:textId="775C9FA4" w:rsidR="005430E3" w:rsidRDefault="005430E3" w:rsidP="0026299A">
            <w:pPr>
              <w:rPr>
                <w:b/>
                <w:sz w:val="24"/>
                <w:szCs w:val="24"/>
              </w:rPr>
            </w:pPr>
            <w:r>
              <w:rPr>
                <w:b/>
                <w:sz w:val="24"/>
                <w:szCs w:val="24"/>
              </w:rPr>
              <w:t>CI2b</w:t>
            </w:r>
          </w:p>
        </w:tc>
        <w:tc>
          <w:tcPr>
            <w:tcW w:w="12758" w:type="dxa"/>
            <w:shd w:val="clear" w:color="auto" w:fill="auto"/>
          </w:tcPr>
          <w:p w14:paraId="7D0CFB3D" w14:textId="77777777" w:rsidR="005430E3" w:rsidRDefault="005430E3" w:rsidP="005430E3">
            <w:pPr>
              <w:rPr>
                <w:sz w:val="24"/>
                <w:szCs w:val="24"/>
              </w:rPr>
            </w:pPr>
            <w:r w:rsidRPr="00283F12">
              <w:rPr>
                <w:b/>
                <w:sz w:val="24"/>
                <w:szCs w:val="24"/>
              </w:rPr>
              <w:t>Engagement</w:t>
            </w:r>
            <w:r>
              <w:rPr>
                <w:sz w:val="24"/>
                <w:szCs w:val="24"/>
              </w:rPr>
              <w:t xml:space="preserve"> – Building on established relationships, continue to engage with all stakeholders to review and strengthen the service model(s) implemented to maximise the clinical outcomes, value, quality and safety of service delivery.</w:t>
            </w:r>
          </w:p>
          <w:p w14:paraId="7DD3E6FC" w14:textId="77777777" w:rsidR="005430E3" w:rsidRPr="005430E3" w:rsidRDefault="005430E3" w:rsidP="0026299A">
            <w:pPr>
              <w:rPr>
                <w:b/>
                <w:sz w:val="12"/>
                <w:szCs w:val="12"/>
              </w:rPr>
            </w:pPr>
          </w:p>
        </w:tc>
      </w:tr>
      <w:tr w:rsidR="005430E3" w:rsidRPr="009D7037" w14:paraId="4B85B026" w14:textId="77777777" w:rsidTr="0026299A">
        <w:tc>
          <w:tcPr>
            <w:tcW w:w="1271" w:type="dxa"/>
            <w:shd w:val="clear" w:color="auto" w:fill="auto"/>
          </w:tcPr>
          <w:p w14:paraId="6CA28C82" w14:textId="62ED5CD1" w:rsidR="005430E3" w:rsidRPr="008F007B" w:rsidRDefault="005430E3" w:rsidP="0026299A">
            <w:r>
              <w:rPr>
                <w:b/>
                <w:sz w:val="24"/>
                <w:szCs w:val="24"/>
              </w:rPr>
              <w:t>CI2c</w:t>
            </w:r>
          </w:p>
        </w:tc>
        <w:tc>
          <w:tcPr>
            <w:tcW w:w="12758" w:type="dxa"/>
            <w:shd w:val="clear" w:color="auto" w:fill="auto"/>
          </w:tcPr>
          <w:p w14:paraId="4924ADE8" w14:textId="77777777" w:rsidR="005430E3" w:rsidRPr="007545A5" w:rsidRDefault="005430E3" w:rsidP="005430E3">
            <w:pPr>
              <w:rPr>
                <w:sz w:val="24"/>
                <w:szCs w:val="24"/>
              </w:rPr>
            </w:pPr>
            <w:r w:rsidRPr="007545A5">
              <w:rPr>
                <w:b/>
                <w:sz w:val="24"/>
                <w:szCs w:val="24"/>
              </w:rPr>
              <w:t>Evaluation and Review</w:t>
            </w:r>
            <w:r w:rsidRPr="007545A5">
              <w:rPr>
                <w:sz w:val="24"/>
                <w:szCs w:val="24"/>
              </w:rPr>
              <w:t xml:space="preserve"> – Undertake evaluation and review relating to the implementation of </w:t>
            </w:r>
            <w:r>
              <w:rPr>
                <w:sz w:val="24"/>
                <w:szCs w:val="24"/>
              </w:rPr>
              <w:t>the ACCTS</w:t>
            </w:r>
            <w:r w:rsidRPr="007545A5">
              <w:rPr>
                <w:sz w:val="24"/>
                <w:szCs w:val="24"/>
              </w:rPr>
              <w:t>, reporting on lessons learned, service activity and providing the required assurance regarding the realisation of an</w:t>
            </w:r>
            <w:r>
              <w:rPr>
                <w:sz w:val="24"/>
                <w:szCs w:val="24"/>
              </w:rPr>
              <w:t>ticipated outcomes and benefits going forward.</w:t>
            </w:r>
          </w:p>
          <w:p w14:paraId="081C94D0" w14:textId="77777777" w:rsidR="005430E3" w:rsidRPr="005430E3" w:rsidRDefault="005430E3" w:rsidP="0026299A">
            <w:pPr>
              <w:rPr>
                <w:b/>
                <w:sz w:val="12"/>
                <w:szCs w:val="12"/>
              </w:rPr>
            </w:pPr>
          </w:p>
        </w:tc>
      </w:tr>
    </w:tbl>
    <w:p w14:paraId="011055CC" w14:textId="21D40FD4" w:rsidR="005430E3" w:rsidRDefault="005430E3" w:rsidP="007545A5">
      <w:pPr>
        <w:spacing w:after="0" w:line="240" w:lineRule="auto"/>
        <w:rPr>
          <w:sz w:val="24"/>
          <w:szCs w:val="24"/>
        </w:rPr>
      </w:pPr>
    </w:p>
    <w:tbl>
      <w:tblPr>
        <w:tblStyle w:val="TableGrid"/>
        <w:tblW w:w="14029" w:type="dxa"/>
        <w:tblLook w:val="04A0" w:firstRow="1" w:lastRow="0" w:firstColumn="1" w:lastColumn="0" w:noHBand="0" w:noVBand="1"/>
      </w:tblPr>
      <w:tblGrid>
        <w:gridCol w:w="1271"/>
        <w:gridCol w:w="12758"/>
      </w:tblGrid>
      <w:tr w:rsidR="005430E3" w14:paraId="6F1DBE92" w14:textId="77777777" w:rsidTr="0026299A">
        <w:tc>
          <w:tcPr>
            <w:tcW w:w="14029" w:type="dxa"/>
            <w:gridSpan w:val="2"/>
            <w:shd w:val="clear" w:color="auto" w:fill="1F3864" w:themeFill="accent5" w:themeFillShade="80"/>
          </w:tcPr>
          <w:p w14:paraId="1EA305AF" w14:textId="2A8ABD1E" w:rsidR="005430E3" w:rsidRPr="009D7037" w:rsidRDefault="005430E3" w:rsidP="005430E3">
            <w:pPr>
              <w:rPr>
                <w:b/>
                <w:sz w:val="28"/>
              </w:rPr>
            </w:pPr>
            <w:r>
              <w:rPr>
                <w:b/>
                <w:sz w:val="28"/>
              </w:rPr>
              <w:t xml:space="preserve">EMRTS </w:t>
            </w:r>
            <w:r w:rsidRPr="009D7037">
              <w:rPr>
                <w:b/>
                <w:sz w:val="28"/>
              </w:rPr>
              <w:t>Commissioning Intention – CI</w:t>
            </w:r>
            <w:r>
              <w:rPr>
                <w:b/>
                <w:sz w:val="28"/>
              </w:rPr>
              <w:t>3</w:t>
            </w:r>
            <w:r w:rsidRPr="009D7037">
              <w:rPr>
                <w:b/>
                <w:sz w:val="28"/>
              </w:rPr>
              <w:t xml:space="preserve">: </w:t>
            </w:r>
            <w:r>
              <w:rPr>
                <w:b/>
                <w:sz w:val="28"/>
              </w:rPr>
              <w:t>Service Evaluation</w:t>
            </w:r>
          </w:p>
        </w:tc>
      </w:tr>
      <w:tr w:rsidR="005430E3" w:rsidRPr="009D7037" w14:paraId="6BDFFFC8" w14:textId="77777777" w:rsidTr="0026299A">
        <w:tc>
          <w:tcPr>
            <w:tcW w:w="1271" w:type="dxa"/>
            <w:shd w:val="clear" w:color="auto" w:fill="auto"/>
          </w:tcPr>
          <w:p w14:paraId="6324E97D" w14:textId="7101AE12" w:rsidR="005430E3" w:rsidRPr="009D7037" w:rsidRDefault="005430E3" w:rsidP="005430E3">
            <w:pPr>
              <w:rPr>
                <w:b/>
              </w:rPr>
            </w:pPr>
            <w:r>
              <w:rPr>
                <w:b/>
                <w:sz w:val="24"/>
                <w:szCs w:val="24"/>
              </w:rPr>
              <w:t>CI3a</w:t>
            </w:r>
          </w:p>
        </w:tc>
        <w:tc>
          <w:tcPr>
            <w:tcW w:w="12758" w:type="dxa"/>
            <w:shd w:val="clear" w:color="auto" w:fill="auto"/>
          </w:tcPr>
          <w:p w14:paraId="0F52028A" w14:textId="06CD1231" w:rsidR="005430E3" w:rsidRDefault="005430E3" w:rsidP="0026299A">
            <w:pPr>
              <w:rPr>
                <w:sz w:val="24"/>
                <w:szCs w:val="24"/>
              </w:rPr>
            </w:pPr>
            <w:r w:rsidRPr="007545A5">
              <w:rPr>
                <w:b/>
                <w:sz w:val="24"/>
                <w:szCs w:val="24"/>
              </w:rPr>
              <w:t xml:space="preserve">Improvement Plan </w:t>
            </w:r>
            <w:r w:rsidRPr="005430E3">
              <w:rPr>
                <w:sz w:val="24"/>
                <w:szCs w:val="24"/>
              </w:rPr>
              <w:t xml:space="preserve">– </w:t>
            </w:r>
            <w:r w:rsidRPr="007545A5">
              <w:rPr>
                <w:sz w:val="24"/>
                <w:szCs w:val="24"/>
              </w:rPr>
              <w:t>Develop and implement an improvement plan in response to the</w:t>
            </w:r>
            <w:r w:rsidR="001D2BBA">
              <w:rPr>
                <w:sz w:val="24"/>
                <w:szCs w:val="24"/>
              </w:rPr>
              <w:t xml:space="preserve"> EMRTS Service Evaluation</w:t>
            </w:r>
            <w:r w:rsidRPr="007545A5">
              <w:rPr>
                <w:sz w:val="24"/>
                <w:szCs w:val="24"/>
              </w:rPr>
              <w:t xml:space="preserve"> Report.</w:t>
            </w:r>
          </w:p>
          <w:p w14:paraId="160C2B26" w14:textId="340A6F06" w:rsidR="005430E3" w:rsidRPr="005430E3" w:rsidRDefault="005430E3" w:rsidP="0026299A">
            <w:pPr>
              <w:rPr>
                <w:b/>
                <w:sz w:val="12"/>
                <w:szCs w:val="12"/>
              </w:rPr>
            </w:pPr>
          </w:p>
        </w:tc>
      </w:tr>
    </w:tbl>
    <w:p w14:paraId="1856C135" w14:textId="3F6B9976" w:rsidR="008E015E" w:rsidRDefault="008E015E" w:rsidP="00283F12">
      <w:pPr>
        <w:spacing w:after="0" w:line="240" w:lineRule="auto"/>
        <w:rPr>
          <w:sz w:val="24"/>
          <w:szCs w:val="24"/>
        </w:rPr>
      </w:pPr>
    </w:p>
    <w:tbl>
      <w:tblPr>
        <w:tblStyle w:val="TableGrid"/>
        <w:tblW w:w="14029" w:type="dxa"/>
        <w:tblLook w:val="04A0" w:firstRow="1" w:lastRow="0" w:firstColumn="1" w:lastColumn="0" w:noHBand="0" w:noVBand="1"/>
      </w:tblPr>
      <w:tblGrid>
        <w:gridCol w:w="1271"/>
        <w:gridCol w:w="12758"/>
      </w:tblGrid>
      <w:tr w:rsidR="005430E3" w14:paraId="29419BA7" w14:textId="77777777" w:rsidTr="0026299A">
        <w:tc>
          <w:tcPr>
            <w:tcW w:w="14029" w:type="dxa"/>
            <w:gridSpan w:val="2"/>
            <w:shd w:val="clear" w:color="auto" w:fill="1F3864" w:themeFill="accent5" w:themeFillShade="80"/>
          </w:tcPr>
          <w:p w14:paraId="48A2D13B" w14:textId="73D48111" w:rsidR="005430E3" w:rsidRPr="009D7037" w:rsidRDefault="005430E3" w:rsidP="005430E3">
            <w:pPr>
              <w:rPr>
                <w:b/>
                <w:sz w:val="28"/>
              </w:rPr>
            </w:pPr>
            <w:r>
              <w:rPr>
                <w:b/>
                <w:sz w:val="28"/>
              </w:rPr>
              <w:t xml:space="preserve">EMRTS </w:t>
            </w:r>
            <w:r w:rsidRPr="009D7037">
              <w:rPr>
                <w:b/>
                <w:sz w:val="28"/>
              </w:rPr>
              <w:t>Commissioning Intention – CI</w:t>
            </w:r>
            <w:r>
              <w:rPr>
                <w:b/>
                <w:sz w:val="28"/>
              </w:rPr>
              <w:t>4</w:t>
            </w:r>
            <w:r w:rsidRPr="009D7037">
              <w:rPr>
                <w:b/>
                <w:sz w:val="28"/>
              </w:rPr>
              <w:t xml:space="preserve">: </w:t>
            </w:r>
            <w:r>
              <w:rPr>
                <w:b/>
                <w:sz w:val="28"/>
              </w:rPr>
              <w:t>System Transformation</w:t>
            </w:r>
          </w:p>
        </w:tc>
      </w:tr>
      <w:tr w:rsidR="005430E3" w:rsidRPr="009D7037" w14:paraId="49573DEE" w14:textId="77777777" w:rsidTr="0026299A">
        <w:tc>
          <w:tcPr>
            <w:tcW w:w="1271" w:type="dxa"/>
            <w:shd w:val="clear" w:color="auto" w:fill="auto"/>
          </w:tcPr>
          <w:p w14:paraId="54FD19A1" w14:textId="0307064E" w:rsidR="005430E3" w:rsidRPr="009D7037" w:rsidRDefault="005430E3" w:rsidP="005430E3">
            <w:pPr>
              <w:rPr>
                <w:b/>
              </w:rPr>
            </w:pPr>
            <w:r>
              <w:rPr>
                <w:b/>
                <w:sz w:val="24"/>
                <w:szCs w:val="24"/>
              </w:rPr>
              <w:t>CI4a</w:t>
            </w:r>
          </w:p>
        </w:tc>
        <w:tc>
          <w:tcPr>
            <w:tcW w:w="12758" w:type="dxa"/>
            <w:shd w:val="clear" w:color="auto" w:fill="auto"/>
          </w:tcPr>
          <w:p w14:paraId="2A75A839" w14:textId="77777777" w:rsidR="005430E3" w:rsidRDefault="005430E3" w:rsidP="0026299A">
            <w:pPr>
              <w:rPr>
                <w:sz w:val="24"/>
                <w:szCs w:val="24"/>
              </w:rPr>
            </w:pPr>
            <w:r w:rsidRPr="007545A5">
              <w:rPr>
                <w:b/>
                <w:sz w:val="24"/>
                <w:szCs w:val="24"/>
              </w:rPr>
              <w:t>Demand and Capacity Strategy</w:t>
            </w:r>
            <w:r w:rsidRPr="007545A5">
              <w:rPr>
                <w:sz w:val="24"/>
                <w:szCs w:val="24"/>
              </w:rPr>
              <w:t xml:space="preserve"> – </w:t>
            </w:r>
            <w:r>
              <w:rPr>
                <w:sz w:val="24"/>
                <w:szCs w:val="24"/>
              </w:rPr>
              <w:t xml:space="preserve">To continue with the work on a </w:t>
            </w:r>
            <w:r w:rsidRPr="007545A5">
              <w:rPr>
                <w:sz w:val="24"/>
                <w:szCs w:val="24"/>
              </w:rPr>
              <w:t xml:space="preserve">collaboratively developed demand and capacity strategy will set out the ongoing arrangements for proactively undertaking this work for the next decade, this will include the use of forecasting, modelling and health economic evaluations.  </w:t>
            </w:r>
          </w:p>
          <w:p w14:paraId="305F0BDF" w14:textId="65528999" w:rsidR="005430E3" w:rsidRPr="005430E3" w:rsidRDefault="005430E3" w:rsidP="0026299A">
            <w:pPr>
              <w:rPr>
                <w:b/>
                <w:sz w:val="12"/>
                <w:szCs w:val="12"/>
              </w:rPr>
            </w:pPr>
          </w:p>
        </w:tc>
      </w:tr>
    </w:tbl>
    <w:p w14:paraId="1DEB1A56" w14:textId="77777777" w:rsidR="005430E3" w:rsidRDefault="005430E3" w:rsidP="00283F12">
      <w:pPr>
        <w:spacing w:after="0" w:line="240" w:lineRule="auto"/>
        <w:rPr>
          <w:sz w:val="24"/>
          <w:szCs w:val="24"/>
        </w:rPr>
      </w:pPr>
    </w:p>
    <w:p w14:paraId="6CA994F4" w14:textId="77777777" w:rsidR="005430E3" w:rsidRDefault="005430E3" w:rsidP="00283F12">
      <w:pPr>
        <w:spacing w:after="0" w:line="240" w:lineRule="auto"/>
        <w:rPr>
          <w:sz w:val="24"/>
          <w:szCs w:val="24"/>
        </w:rPr>
      </w:pPr>
    </w:p>
    <w:sectPr w:rsidR="005430E3" w:rsidSect="002F40D7">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602B1" w14:textId="77777777" w:rsidR="0092387F" w:rsidRDefault="0092387F" w:rsidP="00FF6AFE">
      <w:pPr>
        <w:spacing w:after="0" w:line="240" w:lineRule="auto"/>
      </w:pPr>
      <w:r>
        <w:separator/>
      </w:r>
    </w:p>
  </w:endnote>
  <w:endnote w:type="continuationSeparator" w:id="0">
    <w:p w14:paraId="10E256CB" w14:textId="77777777" w:rsidR="0092387F" w:rsidRDefault="0092387F" w:rsidP="00FF6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672696"/>
      <w:docPartObj>
        <w:docPartGallery w:val="Page Numbers (Bottom of Page)"/>
        <w:docPartUnique/>
      </w:docPartObj>
    </w:sdtPr>
    <w:sdtEndPr>
      <w:rPr>
        <w:noProof/>
      </w:rPr>
    </w:sdtEndPr>
    <w:sdtContent>
      <w:p w14:paraId="7DF3099D" w14:textId="40BEB9CF" w:rsidR="00FF6AFE" w:rsidRDefault="00FF6AFE">
        <w:pPr>
          <w:pStyle w:val="Footer"/>
          <w:jc w:val="center"/>
        </w:pPr>
        <w:r>
          <w:fldChar w:fldCharType="begin"/>
        </w:r>
        <w:r>
          <w:instrText xml:space="preserve"> PAGE   \* MERGEFORMAT </w:instrText>
        </w:r>
        <w:r>
          <w:fldChar w:fldCharType="separate"/>
        </w:r>
        <w:r w:rsidR="00551576">
          <w:rPr>
            <w:noProof/>
          </w:rPr>
          <w:t>3</w:t>
        </w:r>
        <w:r>
          <w:rPr>
            <w:noProof/>
          </w:rPr>
          <w:fldChar w:fldCharType="end"/>
        </w:r>
      </w:p>
    </w:sdtContent>
  </w:sdt>
  <w:p w14:paraId="6FC4D334" w14:textId="77777777" w:rsidR="00FF6AFE" w:rsidRDefault="00FF6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A3601" w14:textId="77777777" w:rsidR="0092387F" w:rsidRDefault="0092387F" w:rsidP="00FF6AFE">
      <w:pPr>
        <w:spacing w:after="0" w:line="240" w:lineRule="auto"/>
      </w:pPr>
      <w:r>
        <w:separator/>
      </w:r>
    </w:p>
  </w:footnote>
  <w:footnote w:type="continuationSeparator" w:id="0">
    <w:p w14:paraId="171D49F4" w14:textId="77777777" w:rsidR="0092387F" w:rsidRDefault="0092387F" w:rsidP="00FF6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B3769" w14:textId="6A9AB670" w:rsidR="00F45A3D" w:rsidRPr="007545A5" w:rsidRDefault="00F45A3D">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48F7"/>
    <w:multiLevelType w:val="hybridMultilevel"/>
    <w:tmpl w:val="CC542ADA"/>
    <w:lvl w:ilvl="0" w:tplc="3B908C28">
      <w:start w:val="1"/>
      <w:numFmt w:val="bullet"/>
      <w:lvlText w:val="•"/>
      <w:lvlJc w:val="left"/>
      <w:pPr>
        <w:tabs>
          <w:tab w:val="num" w:pos="720"/>
        </w:tabs>
        <w:ind w:left="720" w:hanging="360"/>
      </w:pPr>
      <w:rPr>
        <w:rFonts w:ascii="Arial" w:hAnsi="Arial" w:hint="default"/>
      </w:rPr>
    </w:lvl>
    <w:lvl w:ilvl="1" w:tplc="7EB8D1AE" w:tentative="1">
      <w:start w:val="1"/>
      <w:numFmt w:val="bullet"/>
      <w:lvlText w:val="•"/>
      <w:lvlJc w:val="left"/>
      <w:pPr>
        <w:tabs>
          <w:tab w:val="num" w:pos="1440"/>
        </w:tabs>
        <w:ind w:left="1440" w:hanging="360"/>
      </w:pPr>
      <w:rPr>
        <w:rFonts w:ascii="Arial" w:hAnsi="Arial" w:hint="default"/>
      </w:rPr>
    </w:lvl>
    <w:lvl w:ilvl="2" w:tplc="A85A0ED6" w:tentative="1">
      <w:start w:val="1"/>
      <w:numFmt w:val="bullet"/>
      <w:lvlText w:val="•"/>
      <w:lvlJc w:val="left"/>
      <w:pPr>
        <w:tabs>
          <w:tab w:val="num" w:pos="2160"/>
        </w:tabs>
        <w:ind w:left="2160" w:hanging="360"/>
      </w:pPr>
      <w:rPr>
        <w:rFonts w:ascii="Arial" w:hAnsi="Arial" w:hint="default"/>
      </w:rPr>
    </w:lvl>
    <w:lvl w:ilvl="3" w:tplc="83B684B4" w:tentative="1">
      <w:start w:val="1"/>
      <w:numFmt w:val="bullet"/>
      <w:lvlText w:val="•"/>
      <w:lvlJc w:val="left"/>
      <w:pPr>
        <w:tabs>
          <w:tab w:val="num" w:pos="2880"/>
        </w:tabs>
        <w:ind w:left="2880" w:hanging="360"/>
      </w:pPr>
      <w:rPr>
        <w:rFonts w:ascii="Arial" w:hAnsi="Arial" w:hint="default"/>
      </w:rPr>
    </w:lvl>
    <w:lvl w:ilvl="4" w:tplc="72F0E55A" w:tentative="1">
      <w:start w:val="1"/>
      <w:numFmt w:val="bullet"/>
      <w:lvlText w:val="•"/>
      <w:lvlJc w:val="left"/>
      <w:pPr>
        <w:tabs>
          <w:tab w:val="num" w:pos="3600"/>
        </w:tabs>
        <w:ind w:left="3600" w:hanging="360"/>
      </w:pPr>
      <w:rPr>
        <w:rFonts w:ascii="Arial" w:hAnsi="Arial" w:hint="default"/>
      </w:rPr>
    </w:lvl>
    <w:lvl w:ilvl="5" w:tplc="7098FDE4" w:tentative="1">
      <w:start w:val="1"/>
      <w:numFmt w:val="bullet"/>
      <w:lvlText w:val="•"/>
      <w:lvlJc w:val="left"/>
      <w:pPr>
        <w:tabs>
          <w:tab w:val="num" w:pos="4320"/>
        </w:tabs>
        <w:ind w:left="4320" w:hanging="360"/>
      </w:pPr>
      <w:rPr>
        <w:rFonts w:ascii="Arial" w:hAnsi="Arial" w:hint="default"/>
      </w:rPr>
    </w:lvl>
    <w:lvl w:ilvl="6" w:tplc="ACB87AB4" w:tentative="1">
      <w:start w:val="1"/>
      <w:numFmt w:val="bullet"/>
      <w:lvlText w:val="•"/>
      <w:lvlJc w:val="left"/>
      <w:pPr>
        <w:tabs>
          <w:tab w:val="num" w:pos="5040"/>
        </w:tabs>
        <w:ind w:left="5040" w:hanging="360"/>
      </w:pPr>
      <w:rPr>
        <w:rFonts w:ascii="Arial" w:hAnsi="Arial" w:hint="default"/>
      </w:rPr>
    </w:lvl>
    <w:lvl w:ilvl="7" w:tplc="E69EF8D4" w:tentative="1">
      <w:start w:val="1"/>
      <w:numFmt w:val="bullet"/>
      <w:lvlText w:val="•"/>
      <w:lvlJc w:val="left"/>
      <w:pPr>
        <w:tabs>
          <w:tab w:val="num" w:pos="5760"/>
        </w:tabs>
        <w:ind w:left="5760" w:hanging="360"/>
      </w:pPr>
      <w:rPr>
        <w:rFonts w:ascii="Arial" w:hAnsi="Arial" w:hint="default"/>
      </w:rPr>
    </w:lvl>
    <w:lvl w:ilvl="8" w:tplc="A5A670F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5C0B43"/>
    <w:multiLevelType w:val="hybridMultilevel"/>
    <w:tmpl w:val="9860075E"/>
    <w:lvl w:ilvl="0" w:tplc="200E001E">
      <w:start w:val="1"/>
      <w:numFmt w:val="bullet"/>
      <w:lvlText w:val="•"/>
      <w:lvlJc w:val="left"/>
      <w:pPr>
        <w:tabs>
          <w:tab w:val="num" w:pos="720"/>
        </w:tabs>
        <w:ind w:left="720" w:hanging="360"/>
      </w:pPr>
      <w:rPr>
        <w:rFonts w:ascii="Arial" w:hAnsi="Arial" w:hint="default"/>
      </w:rPr>
    </w:lvl>
    <w:lvl w:ilvl="1" w:tplc="D61C73D8" w:tentative="1">
      <w:start w:val="1"/>
      <w:numFmt w:val="bullet"/>
      <w:lvlText w:val="•"/>
      <w:lvlJc w:val="left"/>
      <w:pPr>
        <w:tabs>
          <w:tab w:val="num" w:pos="1440"/>
        </w:tabs>
        <w:ind w:left="1440" w:hanging="360"/>
      </w:pPr>
      <w:rPr>
        <w:rFonts w:ascii="Arial" w:hAnsi="Arial" w:hint="default"/>
      </w:rPr>
    </w:lvl>
    <w:lvl w:ilvl="2" w:tplc="899243A8" w:tentative="1">
      <w:start w:val="1"/>
      <w:numFmt w:val="bullet"/>
      <w:lvlText w:val="•"/>
      <w:lvlJc w:val="left"/>
      <w:pPr>
        <w:tabs>
          <w:tab w:val="num" w:pos="2160"/>
        </w:tabs>
        <w:ind w:left="2160" w:hanging="360"/>
      </w:pPr>
      <w:rPr>
        <w:rFonts w:ascii="Arial" w:hAnsi="Arial" w:hint="default"/>
      </w:rPr>
    </w:lvl>
    <w:lvl w:ilvl="3" w:tplc="FD2893F0" w:tentative="1">
      <w:start w:val="1"/>
      <w:numFmt w:val="bullet"/>
      <w:lvlText w:val="•"/>
      <w:lvlJc w:val="left"/>
      <w:pPr>
        <w:tabs>
          <w:tab w:val="num" w:pos="2880"/>
        </w:tabs>
        <w:ind w:left="2880" w:hanging="360"/>
      </w:pPr>
      <w:rPr>
        <w:rFonts w:ascii="Arial" w:hAnsi="Arial" w:hint="default"/>
      </w:rPr>
    </w:lvl>
    <w:lvl w:ilvl="4" w:tplc="C534FCB2" w:tentative="1">
      <w:start w:val="1"/>
      <w:numFmt w:val="bullet"/>
      <w:lvlText w:val="•"/>
      <w:lvlJc w:val="left"/>
      <w:pPr>
        <w:tabs>
          <w:tab w:val="num" w:pos="3600"/>
        </w:tabs>
        <w:ind w:left="3600" w:hanging="360"/>
      </w:pPr>
      <w:rPr>
        <w:rFonts w:ascii="Arial" w:hAnsi="Arial" w:hint="default"/>
      </w:rPr>
    </w:lvl>
    <w:lvl w:ilvl="5" w:tplc="CF1A95A2" w:tentative="1">
      <w:start w:val="1"/>
      <w:numFmt w:val="bullet"/>
      <w:lvlText w:val="•"/>
      <w:lvlJc w:val="left"/>
      <w:pPr>
        <w:tabs>
          <w:tab w:val="num" w:pos="4320"/>
        </w:tabs>
        <w:ind w:left="4320" w:hanging="360"/>
      </w:pPr>
      <w:rPr>
        <w:rFonts w:ascii="Arial" w:hAnsi="Arial" w:hint="default"/>
      </w:rPr>
    </w:lvl>
    <w:lvl w:ilvl="6" w:tplc="EBDE6234" w:tentative="1">
      <w:start w:val="1"/>
      <w:numFmt w:val="bullet"/>
      <w:lvlText w:val="•"/>
      <w:lvlJc w:val="left"/>
      <w:pPr>
        <w:tabs>
          <w:tab w:val="num" w:pos="5040"/>
        </w:tabs>
        <w:ind w:left="5040" w:hanging="360"/>
      </w:pPr>
      <w:rPr>
        <w:rFonts w:ascii="Arial" w:hAnsi="Arial" w:hint="default"/>
      </w:rPr>
    </w:lvl>
    <w:lvl w:ilvl="7" w:tplc="C67CFE3A" w:tentative="1">
      <w:start w:val="1"/>
      <w:numFmt w:val="bullet"/>
      <w:lvlText w:val="•"/>
      <w:lvlJc w:val="left"/>
      <w:pPr>
        <w:tabs>
          <w:tab w:val="num" w:pos="5760"/>
        </w:tabs>
        <w:ind w:left="5760" w:hanging="360"/>
      </w:pPr>
      <w:rPr>
        <w:rFonts w:ascii="Arial" w:hAnsi="Arial" w:hint="default"/>
      </w:rPr>
    </w:lvl>
    <w:lvl w:ilvl="8" w:tplc="9BDCEF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BF5E7C"/>
    <w:multiLevelType w:val="hybridMultilevel"/>
    <w:tmpl w:val="61ACA1F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D9046ED"/>
    <w:multiLevelType w:val="hybridMultilevel"/>
    <w:tmpl w:val="59742186"/>
    <w:lvl w:ilvl="0" w:tplc="9D5C5B26">
      <w:start w:val="1"/>
      <w:numFmt w:val="bullet"/>
      <w:lvlText w:val="•"/>
      <w:lvlJc w:val="left"/>
      <w:pPr>
        <w:tabs>
          <w:tab w:val="num" w:pos="720"/>
        </w:tabs>
        <w:ind w:left="720" w:hanging="360"/>
      </w:pPr>
      <w:rPr>
        <w:rFonts w:ascii="Arial" w:hAnsi="Arial" w:hint="default"/>
      </w:rPr>
    </w:lvl>
    <w:lvl w:ilvl="1" w:tplc="232004CC" w:tentative="1">
      <w:start w:val="1"/>
      <w:numFmt w:val="bullet"/>
      <w:lvlText w:val="•"/>
      <w:lvlJc w:val="left"/>
      <w:pPr>
        <w:tabs>
          <w:tab w:val="num" w:pos="1440"/>
        </w:tabs>
        <w:ind w:left="1440" w:hanging="360"/>
      </w:pPr>
      <w:rPr>
        <w:rFonts w:ascii="Arial" w:hAnsi="Arial" w:hint="default"/>
      </w:rPr>
    </w:lvl>
    <w:lvl w:ilvl="2" w:tplc="80B8AD14" w:tentative="1">
      <w:start w:val="1"/>
      <w:numFmt w:val="bullet"/>
      <w:lvlText w:val="•"/>
      <w:lvlJc w:val="left"/>
      <w:pPr>
        <w:tabs>
          <w:tab w:val="num" w:pos="2160"/>
        </w:tabs>
        <w:ind w:left="2160" w:hanging="360"/>
      </w:pPr>
      <w:rPr>
        <w:rFonts w:ascii="Arial" w:hAnsi="Arial" w:hint="default"/>
      </w:rPr>
    </w:lvl>
    <w:lvl w:ilvl="3" w:tplc="59BAB1AA" w:tentative="1">
      <w:start w:val="1"/>
      <w:numFmt w:val="bullet"/>
      <w:lvlText w:val="•"/>
      <w:lvlJc w:val="left"/>
      <w:pPr>
        <w:tabs>
          <w:tab w:val="num" w:pos="2880"/>
        </w:tabs>
        <w:ind w:left="2880" w:hanging="360"/>
      </w:pPr>
      <w:rPr>
        <w:rFonts w:ascii="Arial" w:hAnsi="Arial" w:hint="default"/>
      </w:rPr>
    </w:lvl>
    <w:lvl w:ilvl="4" w:tplc="61BCF3B6" w:tentative="1">
      <w:start w:val="1"/>
      <w:numFmt w:val="bullet"/>
      <w:lvlText w:val="•"/>
      <w:lvlJc w:val="left"/>
      <w:pPr>
        <w:tabs>
          <w:tab w:val="num" w:pos="3600"/>
        </w:tabs>
        <w:ind w:left="3600" w:hanging="360"/>
      </w:pPr>
      <w:rPr>
        <w:rFonts w:ascii="Arial" w:hAnsi="Arial" w:hint="default"/>
      </w:rPr>
    </w:lvl>
    <w:lvl w:ilvl="5" w:tplc="42ECAE54" w:tentative="1">
      <w:start w:val="1"/>
      <w:numFmt w:val="bullet"/>
      <w:lvlText w:val="•"/>
      <w:lvlJc w:val="left"/>
      <w:pPr>
        <w:tabs>
          <w:tab w:val="num" w:pos="4320"/>
        </w:tabs>
        <w:ind w:left="4320" w:hanging="360"/>
      </w:pPr>
      <w:rPr>
        <w:rFonts w:ascii="Arial" w:hAnsi="Arial" w:hint="default"/>
      </w:rPr>
    </w:lvl>
    <w:lvl w:ilvl="6" w:tplc="76AACE20" w:tentative="1">
      <w:start w:val="1"/>
      <w:numFmt w:val="bullet"/>
      <w:lvlText w:val="•"/>
      <w:lvlJc w:val="left"/>
      <w:pPr>
        <w:tabs>
          <w:tab w:val="num" w:pos="5040"/>
        </w:tabs>
        <w:ind w:left="5040" w:hanging="360"/>
      </w:pPr>
      <w:rPr>
        <w:rFonts w:ascii="Arial" w:hAnsi="Arial" w:hint="default"/>
      </w:rPr>
    </w:lvl>
    <w:lvl w:ilvl="7" w:tplc="2CB45E6A" w:tentative="1">
      <w:start w:val="1"/>
      <w:numFmt w:val="bullet"/>
      <w:lvlText w:val="•"/>
      <w:lvlJc w:val="left"/>
      <w:pPr>
        <w:tabs>
          <w:tab w:val="num" w:pos="5760"/>
        </w:tabs>
        <w:ind w:left="5760" w:hanging="360"/>
      </w:pPr>
      <w:rPr>
        <w:rFonts w:ascii="Arial" w:hAnsi="Arial" w:hint="default"/>
      </w:rPr>
    </w:lvl>
    <w:lvl w:ilvl="8" w:tplc="6076F03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CE7E91"/>
    <w:multiLevelType w:val="hybridMultilevel"/>
    <w:tmpl w:val="9F609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8538D0"/>
    <w:multiLevelType w:val="hybridMultilevel"/>
    <w:tmpl w:val="8662FB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147C91"/>
    <w:multiLevelType w:val="hybridMultilevel"/>
    <w:tmpl w:val="33A80A18"/>
    <w:lvl w:ilvl="0" w:tplc="AC408148">
      <w:start w:val="1"/>
      <w:numFmt w:val="bullet"/>
      <w:lvlText w:val="•"/>
      <w:lvlJc w:val="left"/>
      <w:pPr>
        <w:tabs>
          <w:tab w:val="num" w:pos="720"/>
        </w:tabs>
        <w:ind w:left="720" w:hanging="360"/>
      </w:pPr>
      <w:rPr>
        <w:rFonts w:ascii="Arial" w:hAnsi="Arial" w:hint="default"/>
      </w:rPr>
    </w:lvl>
    <w:lvl w:ilvl="1" w:tplc="1D2EF264" w:tentative="1">
      <w:start w:val="1"/>
      <w:numFmt w:val="bullet"/>
      <w:lvlText w:val="•"/>
      <w:lvlJc w:val="left"/>
      <w:pPr>
        <w:tabs>
          <w:tab w:val="num" w:pos="1440"/>
        </w:tabs>
        <w:ind w:left="1440" w:hanging="360"/>
      </w:pPr>
      <w:rPr>
        <w:rFonts w:ascii="Arial" w:hAnsi="Arial" w:hint="default"/>
      </w:rPr>
    </w:lvl>
    <w:lvl w:ilvl="2" w:tplc="9934CF26" w:tentative="1">
      <w:start w:val="1"/>
      <w:numFmt w:val="bullet"/>
      <w:lvlText w:val="•"/>
      <w:lvlJc w:val="left"/>
      <w:pPr>
        <w:tabs>
          <w:tab w:val="num" w:pos="2160"/>
        </w:tabs>
        <w:ind w:left="2160" w:hanging="360"/>
      </w:pPr>
      <w:rPr>
        <w:rFonts w:ascii="Arial" w:hAnsi="Arial" w:hint="default"/>
      </w:rPr>
    </w:lvl>
    <w:lvl w:ilvl="3" w:tplc="6DDE5618" w:tentative="1">
      <w:start w:val="1"/>
      <w:numFmt w:val="bullet"/>
      <w:lvlText w:val="•"/>
      <w:lvlJc w:val="left"/>
      <w:pPr>
        <w:tabs>
          <w:tab w:val="num" w:pos="2880"/>
        </w:tabs>
        <w:ind w:left="2880" w:hanging="360"/>
      </w:pPr>
      <w:rPr>
        <w:rFonts w:ascii="Arial" w:hAnsi="Arial" w:hint="default"/>
      </w:rPr>
    </w:lvl>
    <w:lvl w:ilvl="4" w:tplc="51F23FAA" w:tentative="1">
      <w:start w:val="1"/>
      <w:numFmt w:val="bullet"/>
      <w:lvlText w:val="•"/>
      <w:lvlJc w:val="left"/>
      <w:pPr>
        <w:tabs>
          <w:tab w:val="num" w:pos="3600"/>
        </w:tabs>
        <w:ind w:left="3600" w:hanging="360"/>
      </w:pPr>
      <w:rPr>
        <w:rFonts w:ascii="Arial" w:hAnsi="Arial" w:hint="default"/>
      </w:rPr>
    </w:lvl>
    <w:lvl w:ilvl="5" w:tplc="D6E81574" w:tentative="1">
      <w:start w:val="1"/>
      <w:numFmt w:val="bullet"/>
      <w:lvlText w:val="•"/>
      <w:lvlJc w:val="left"/>
      <w:pPr>
        <w:tabs>
          <w:tab w:val="num" w:pos="4320"/>
        </w:tabs>
        <w:ind w:left="4320" w:hanging="360"/>
      </w:pPr>
      <w:rPr>
        <w:rFonts w:ascii="Arial" w:hAnsi="Arial" w:hint="default"/>
      </w:rPr>
    </w:lvl>
    <w:lvl w:ilvl="6" w:tplc="70DAF750" w:tentative="1">
      <w:start w:val="1"/>
      <w:numFmt w:val="bullet"/>
      <w:lvlText w:val="•"/>
      <w:lvlJc w:val="left"/>
      <w:pPr>
        <w:tabs>
          <w:tab w:val="num" w:pos="5040"/>
        </w:tabs>
        <w:ind w:left="5040" w:hanging="360"/>
      </w:pPr>
      <w:rPr>
        <w:rFonts w:ascii="Arial" w:hAnsi="Arial" w:hint="default"/>
      </w:rPr>
    </w:lvl>
    <w:lvl w:ilvl="7" w:tplc="8278C072" w:tentative="1">
      <w:start w:val="1"/>
      <w:numFmt w:val="bullet"/>
      <w:lvlText w:val="•"/>
      <w:lvlJc w:val="left"/>
      <w:pPr>
        <w:tabs>
          <w:tab w:val="num" w:pos="5760"/>
        </w:tabs>
        <w:ind w:left="5760" w:hanging="360"/>
      </w:pPr>
      <w:rPr>
        <w:rFonts w:ascii="Arial" w:hAnsi="Arial" w:hint="default"/>
      </w:rPr>
    </w:lvl>
    <w:lvl w:ilvl="8" w:tplc="62C8F32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F7122E8"/>
    <w:multiLevelType w:val="hybridMultilevel"/>
    <w:tmpl w:val="BF00D568"/>
    <w:lvl w:ilvl="0" w:tplc="744E3480">
      <w:start w:val="1"/>
      <w:numFmt w:val="bullet"/>
      <w:lvlText w:val="•"/>
      <w:lvlJc w:val="left"/>
      <w:pPr>
        <w:tabs>
          <w:tab w:val="num" w:pos="720"/>
        </w:tabs>
        <w:ind w:left="720" w:hanging="360"/>
      </w:pPr>
      <w:rPr>
        <w:rFonts w:ascii="Arial" w:hAnsi="Arial" w:hint="default"/>
      </w:rPr>
    </w:lvl>
    <w:lvl w:ilvl="1" w:tplc="818E99CE" w:tentative="1">
      <w:start w:val="1"/>
      <w:numFmt w:val="bullet"/>
      <w:lvlText w:val="•"/>
      <w:lvlJc w:val="left"/>
      <w:pPr>
        <w:tabs>
          <w:tab w:val="num" w:pos="1440"/>
        </w:tabs>
        <w:ind w:left="1440" w:hanging="360"/>
      </w:pPr>
      <w:rPr>
        <w:rFonts w:ascii="Arial" w:hAnsi="Arial" w:hint="default"/>
      </w:rPr>
    </w:lvl>
    <w:lvl w:ilvl="2" w:tplc="21C60D22" w:tentative="1">
      <w:start w:val="1"/>
      <w:numFmt w:val="bullet"/>
      <w:lvlText w:val="•"/>
      <w:lvlJc w:val="left"/>
      <w:pPr>
        <w:tabs>
          <w:tab w:val="num" w:pos="2160"/>
        </w:tabs>
        <w:ind w:left="2160" w:hanging="360"/>
      </w:pPr>
      <w:rPr>
        <w:rFonts w:ascii="Arial" w:hAnsi="Arial" w:hint="default"/>
      </w:rPr>
    </w:lvl>
    <w:lvl w:ilvl="3" w:tplc="139E1682" w:tentative="1">
      <w:start w:val="1"/>
      <w:numFmt w:val="bullet"/>
      <w:lvlText w:val="•"/>
      <w:lvlJc w:val="left"/>
      <w:pPr>
        <w:tabs>
          <w:tab w:val="num" w:pos="2880"/>
        </w:tabs>
        <w:ind w:left="2880" w:hanging="360"/>
      </w:pPr>
      <w:rPr>
        <w:rFonts w:ascii="Arial" w:hAnsi="Arial" w:hint="default"/>
      </w:rPr>
    </w:lvl>
    <w:lvl w:ilvl="4" w:tplc="F49EEEBA" w:tentative="1">
      <w:start w:val="1"/>
      <w:numFmt w:val="bullet"/>
      <w:lvlText w:val="•"/>
      <w:lvlJc w:val="left"/>
      <w:pPr>
        <w:tabs>
          <w:tab w:val="num" w:pos="3600"/>
        </w:tabs>
        <w:ind w:left="3600" w:hanging="360"/>
      </w:pPr>
      <w:rPr>
        <w:rFonts w:ascii="Arial" w:hAnsi="Arial" w:hint="default"/>
      </w:rPr>
    </w:lvl>
    <w:lvl w:ilvl="5" w:tplc="03984188" w:tentative="1">
      <w:start w:val="1"/>
      <w:numFmt w:val="bullet"/>
      <w:lvlText w:val="•"/>
      <w:lvlJc w:val="left"/>
      <w:pPr>
        <w:tabs>
          <w:tab w:val="num" w:pos="4320"/>
        </w:tabs>
        <w:ind w:left="4320" w:hanging="360"/>
      </w:pPr>
      <w:rPr>
        <w:rFonts w:ascii="Arial" w:hAnsi="Arial" w:hint="default"/>
      </w:rPr>
    </w:lvl>
    <w:lvl w:ilvl="6" w:tplc="4CE694C6" w:tentative="1">
      <w:start w:val="1"/>
      <w:numFmt w:val="bullet"/>
      <w:lvlText w:val="•"/>
      <w:lvlJc w:val="left"/>
      <w:pPr>
        <w:tabs>
          <w:tab w:val="num" w:pos="5040"/>
        </w:tabs>
        <w:ind w:left="5040" w:hanging="360"/>
      </w:pPr>
      <w:rPr>
        <w:rFonts w:ascii="Arial" w:hAnsi="Arial" w:hint="default"/>
      </w:rPr>
    </w:lvl>
    <w:lvl w:ilvl="7" w:tplc="0C1A9DA6" w:tentative="1">
      <w:start w:val="1"/>
      <w:numFmt w:val="bullet"/>
      <w:lvlText w:val="•"/>
      <w:lvlJc w:val="left"/>
      <w:pPr>
        <w:tabs>
          <w:tab w:val="num" w:pos="5760"/>
        </w:tabs>
        <w:ind w:left="5760" w:hanging="360"/>
      </w:pPr>
      <w:rPr>
        <w:rFonts w:ascii="Arial" w:hAnsi="Arial" w:hint="default"/>
      </w:rPr>
    </w:lvl>
    <w:lvl w:ilvl="8" w:tplc="8908758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1970B3D"/>
    <w:multiLevelType w:val="hybridMultilevel"/>
    <w:tmpl w:val="C9C2B130"/>
    <w:lvl w:ilvl="0" w:tplc="EDA456C0">
      <w:start w:val="1"/>
      <w:numFmt w:val="bullet"/>
      <w:lvlText w:val="•"/>
      <w:lvlJc w:val="left"/>
      <w:pPr>
        <w:tabs>
          <w:tab w:val="num" w:pos="720"/>
        </w:tabs>
        <w:ind w:left="720" w:hanging="360"/>
      </w:pPr>
      <w:rPr>
        <w:rFonts w:ascii="Arial" w:hAnsi="Arial" w:hint="default"/>
      </w:rPr>
    </w:lvl>
    <w:lvl w:ilvl="1" w:tplc="5C860AD2" w:tentative="1">
      <w:start w:val="1"/>
      <w:numFmt w:val="bullet"/>
      <w:lvlText w:val="•"/>
      <w:lvlJc w:val="left"/>
      <w:pPr>
        <w:tabs>
          <w:tab w:val="num" w:pos="1440"/>
        </w:tabs>
        <w:ind w:left="1440" w:hanging="360"/>
      </w:pPr>
      <w:rPr>
        <w:rFonts w:ascii="Arial" w:hAnsi="Arial" w:hint="default"/>
      </w:rPr>
    </w:lvl>
    <w:lvl w:ilvl="2" w:tplc="63F6453A" w:tentative="1">
      <w:start w:val="1"/>
      <w:numFmt w:val="bullet"/>
      <w:lvlText w:val="•"/>
      <w:lvlJc w:val="left"/>
      <w:pPr>
        <w:tabs>
          <w:tab w:val="num" w:pos="2160"/>
        </w:tabs>
        <w:ind w:left="2160" w:hanging="360"/>
      </w:pPr>
      <w:rPr>
        <w:rFonts w:ascii="Arial" w:hAnsi="Arial" w:hint="default"/>
      </w:rPr>
    </w:lvl>
    <w:lvl w:ilvl="3" w:tplc="3EF6CDFC" w:tentative="1">
      <w:start w:val="1"/>
      <w:numFmt w:val="bullet"/>
      <w:lvlText w:val="•"/>
      <w:lvlJc w:val="left"/>
      <w:pPr>
        <w:tabs>
          <w:tab w:val="num" w:pos="2880"/>
        </w:tabs>
        <w:ind w:left="2880" w:hanging="360"/>
      </w:pPr>
      <w:rPr>
        <w:rFonts w:ascii="Arial" w:hAnsi="Arial" w:hint="default"/>
      </w:rPr>
    </w:lvl>
    <w:lvl w:ilvl="4" w:tplc="CDC6AB60" w:tentative="1">
      <w:start w:val="1"/>
      <w:numFmt w:val="bullet"/>
      <w:lvlText w:val="•"/>
      <w:lvlJc w:val="left"/>
      <w:pPr>
        <w:tabs>
          <w:tab w:val="num" w:pos="3600"/>
        </w:tabs>
        <w:ind w:left="3600" w:hanging="360"/>
      </w:pPr>
      <w:rPr>
        <w:rFonts w:ascii="Arial" w:hAnsi="Arial" w:hint="default"/>
      </w:rPr>
    </w:lvl>
    <w:lvl w:ilvl="5" w:tplc="2E9674B2" w:tentative="1">
      <w:start w:val="1"/>
      <w:numFmt w:val="bullet"/>
      <w:lvlText w:val="•"/>
      <w:lvlJc w:val="left"/>
      <w:pPr>
        <w:tabs>
          <w:tab w:val="num" w:pos="4320"/>
        </w:tabs>
        <w:ind w:left="4320" w:hanging="360"/>
      </w:pPr>
      <w:rPr>
        <w:rFonts w:ascii="Arial" w:hAnsi="Arial" w:hint="default"/>
      </w:rPr>
    </w:lvl>
    <w:lvl w:ilvl="6" w:tplc="3F203528" w:tentative="1">
      <w:start w:val="1"/>
      <w:numFmt w:val="bullet"/>
      <w:lvlText w:val="•"/>
      <w:lvlJc w:val="left"/>
      <w:pPr>
        <w:tabs>
          <w:tab w:val="num" w:pos="5040"/>
        </w:tabs>
        <w:ind w:left="5040" w:hanging="360"/>
      </w:pPr>
      <w:rPr>
        <w:rFonts w:ascii="Arial" w:hAnsi="Arial" w:hint="default"/>
      </w:rPr>
    </w:lvl>
    <w:lvl w:ilvl="7" w:tplc="AD1EE3C0" w:tentative="1">
      <w:start w:val="1"/>
      <w:numFmt w:val="bullet"/>
      <w:lvlText w:val="•"/>
      <w:lvlJc w:val="left"/>
      <w:pPr>
        <w:tabs>
          <w:tab w:val="num" w:pos="5760"/>
        </w:tabs>
        <w:ind w:left="5760" w:hanging="360"/>
      </w:pPr>
      <w:rPr>
        <w:rFonts w:ascii="Arial" w:hAnsi="Arial" w:hint="default"/>
      </w:rPr>
    </w:lvl>
    <w:lvl w:ilvl="8" w:tplc="F294DB0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71243EF"/>
    <w:multiLevelType w:val="hybridMultilevel"/>
    <w:tmpl w:val="BB9E461C"/>
    <w:lvl w:ilvl="0" w:tplc="0818ED8A">
      <w:start w:val="1"/>
      <w:numFmt w:val="bullet"/>
      <w:lvlText w:val="•"/>
      <w:lvlJc w:val="left"/>
      <w:pPr>
        <w:tabs>
          <w:tab w:val="num" w:pos="720"/>
        </w:tabs>
        <w:ind w:left="720" w:hanging="360"/>
      </w:pPr>
      <w:rPr>
        <w:rFonts w:ascii="Arial" w:hAnsi="Arial" w:hint="default"/>
      </w:rPr>
    </w:lvl>
    <w:lvl w:ilvl="1" w:tplc="89FCFDF6" w:tentative="1">
      <w:start w:val="1"/>
      <w:numFmt w:val="bullet"/>
      <w:lvlText w:val="•"/>
      <w:lvlJc w:val="left"/>
      <w:pPr>
        <w:tabs>
          <w:tab w:val="num" w:pos="1440"/>
        </w:tabs>
        <w:ind w:left="1440" w:hanging="360"/>
      </w:pPr>
      <w:rPr>
        <w:rFonts w:ascii="Arial" w:hAnsi="Arial" w:hint="default"/>
      </w:rPr>
    </w:lvl>
    <w:lvl w:ilvl="2" w:tplc="71FE79F6" w:tentative="1">
      <w:start w:val="1"/>
      <w:numFmt w:val="bullet"/>
      <w:lvlText w:val="•"/>
      <w:lvlJc w:val="left"/>
      <w:pPr>
        <w:tabs>
          <w:tab w:val="num" w:pos="2160"/>
        </w:tabs>
        <w:ind w:left="2160" w:hanging="360"/>
      </w:pPr>
      <w:rPr>
        <w:rFonts w:ascii="Arial" w:hAnsi="Arial" w:hint="default"/>
      </w:rPr>
    </w:lvl>
    <w:lvl w:ilvl="3" w:tplc="6646262A" w:tentative="1">
      <w:start w:val="1"/>
      <w:numFmt w:val="bullet"/>
      <w:lvlText w:val="•"/>
      <w:lvlJc w:val="left"/>
      <w:pPr>
        <w:tabs>
          <w:tab w:val="num" w:pos="2880"/>
        </w:tabs>
        <w:ind w:left="2880" w:hanging="360"/>
      </w:pPr>
      <w:rPr>
        <w:rFonts w:ascii="Arial" w:hAnsi="Arial" w:hint="default"/>
      </w:rPr>
    </w:lvl>
    <w:lvl w:ilvl="4" w:tplc="71C0328C" w:tentative="1">
      <w:start w:val="1"/>
      <w:numFmt w:val="bullet"/>
      <w:lvlText w:val="•"/>
      <w:lvlJc w:val="left"/>
      <w:pPr>
        <w:tabs>
          <w:tab w:val="num" w:pos="3600"/>
        </w:tabs>
        <w:ind w:left="3600" w:hanging="360"/>
      </w:pPr>
      <w:rPr>
        <w:rFonts w:ascii="Arial" w:hAnsi="Arial" w:hint="default"/>
      </w:rPr>
    </w:lvl>
    <w:lvl w:ilvl="5" w:tplc="921477D2" w:tentative="1">
      <w:start w:val="1"/>
      <w:numFmt w:val="bullet"/>
      <w:lvlText w:val="•"/>
      <w:lvlJc w:val="left"/>
      <w:pPr>
        <w:tabs>
          <w:tab w:val="num" w:pos="4320"/>
        </w:tabs>
        <w:ind w:left="4320" w:hanging="360"/>
      </w:pPr>
      <w:rPr>
        <w:rFonts w:ascii="Arial" w:hAnsi="Arial" w:hint="default"/>
      </w:rPr>
    </w:lvl>
    <w:lvl w:ilvl="6" w:tplc="3B8CC434" w:tentative="1">
      <w:start w:val="1"/>
      <w:numFmt w:val="bullet"/>
      <w:lvlText w:val="•"/>
      <w:lvlJc w:val="left"/>
      <w:pPr>
        <w:tabs>
          <w:tab w:val="num" w:pos="5040"/>
        </w:tabs>
        <w:ind w:left="5040" w:hanging="360"/>
      </w:pPr>
      <w:rPr>
        <w:rFonts w:ascii="Arial" w:hAnsi="Arial" w:hint="default"/>
      </w:rPr>
    </w:lvl>
    <w:lvl w:ilvl="7" w:tplc="B02C2D4A" w:tentative="1">
      <w:start w:val="1"/>
      <w:numFmt w:val="bullet"/>
      <w:lvlText w:val="•"/>
      <w:lvlJc w:val="left"/>
      <w:pPr>
        <w:tabs>
          <w:tab w:val="num" w:pos="5760"/>
        </w:tabs>
        <w:ind w:left="5760" w:hanging="360"/>
      </w:pPr>
      <w:rPr>
        <w:rFonts w:ascii="Arial" w:hAnsi="Arial" w:hint="default"/>
      </w:rPr>
    </w:lvl>
    <w:lvl w:ilvl="8" w:tplc="C9E4C4E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76F2323"/>
    <w:multiLevelType w:val="hybridMultilevel"/>
    <w:tmpl w:val="46EE9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6A1FDF"/>
    <w:multiLevelType w:val="hybridMultilevel"/>
    <w:tmpl w:val="E1261F5C"/>
    <w:lvl w:ilvl="0" w:tplc="9258D518">
      <w:start w:val="1"/>
      <w:numFmt w:val="bullet"/>
      <w:lvlText w:val="•"/>
      <w:lvlJc w:val="left"/>
      <w:pPr>
        <w:tabs>
          <w:tab w:val="num" w:pos="720"/>
        </w:tabs>
        <w:ind w:left="720" w:hanging="360"/>
      </w:pPr>
      <w:rPr>
        <w:rFonts w:ascii="Arial" w:hAnsi="Arial" w:hint="default"/>
      </w:rPr>
    </w:lvl>
    <w:lvl w:ilvl="1" w:tplc="83E8CAFA" w:tentative="1">
      <w:start w:val="1"/>
      <w:numFmt w:val="bullet"/>
      <w:lvlText w:val="•"/>
      <w:lvlJc w:val="left"/>
      <w:pPr>
        <w:tabs>
          <w:tab w:val="num" w:pos="1440"/>
        </w:tabs>
        <w:ind w:left="1440" w:hanging="360"/>
      </w:pPr>
      <w:rPr>
        <w:rFonts w:ascii="Arial" w:hAnsi="Arial" w:hint="default"/>
      </w:rPr>
    </w:lvl>
    <w:lvl w:ilvl="2" w:tplc="7C984192" w:tentative="1">
      <w:start w:val="1"/>
      <w:numFmt w:val="bullet"/>
      <w:lvlText w:val="•"/>
      <w:lvlJc w:val="left"/>
      <w:pPr>
        <w:tabs>
          <w:tab w:val="num" w:pos="2160"/>
        </w:tabs>
        <w:ind w:left="2160" w:hanging="360"/>
      </w:pPr>
      <w:rPr>
        <w:rFonts w:ascii="Arial" w:hAnsi="Arial" w:hint="default"/>
      </w:rPr>
    </w:lvl>
    <w:lvl w:ilvl="3" w:tplc="E0420666" w:tentative="1">
      <w:start w:val="1"/>
      <w:numFmt w:val="bullet"/>
      <w:lvlText w:val="•"/>
      <w:lvlJc w:val="left"/>
      <w:pPr>
        <w:tabs>
          <w:tab w:val="num" w:pos="2880"/>
        </w:tabs>
        <w:ind w:left="2880" w:hanging="360"/>
      </w:pPr>
      <w:rPr>
        <w:rFonts w:ascii="Arial" w:hAnsi="Arial" w:hint="default"/>
      </w:rPr>
    </w:lvl>
    <w:lvl w:ilvl="4" w:tplc="C126864E" w:tentative="1">
      <w:start w:val="1"/>
      <w:numFmt w:val="bullet"/>
      <w:lvlText w:val="•"/>
      <w:lvlJc w:val="left"/>
      <w:pPr>
        <w:tabs>
          <w:tab w:val="num" w:pos="3600"/>
        </w:tabs>
        <w:ind w:left="3600" w:hanging="360"/>
      </w:pPr>
      <w:rPr>
        <w:rFonts w:ascii="Arial" w:hAnsi="Arial" w:hint="default"/>
      </w:rPr>
    </w:lvl>
    <w:lvl w:ilvl="5" w:tplc="D7F0A06A" w:tentative="1">
      <w:start w:val="1"/>
      <w:numFmt w:val="bullet"/>
      <w:lvlText w:val="•"/>
      <w:lvlJc w:val="left"/>
      <w:pPr>
        <w:tabs>
          <w:tab w:val="num" w:pos="4320"/>
        </w:tabs>
        <w:ind w:left="4320" w:hanging="360"/>
      </w:pPr>
      <w:rPr>
        <w:rFonts w:ascii="Arial" w:hAnsi="Arial" w:hint="default"/>
      </w:rPr>
    </w:lvl>
    <w:lvl w:ilvl="6" w:tplc="A4749C3C" w:tentative="1">
      <w:start w:val="1"/>
      <w:numFmt w:val="bullet"/>
      <w:lvlText w:val="•"/>
      <w:lvlJc w:val="left"/>
      <w:pPr>
        <w:tabs>
          <w:tab w:val="num" w:pos="5040"/>
        </w:tabs>
        <w:ind w:left="5040" w:hanging="360"/>
      </w:pPr>
      <w:rPr>
        <w:rFonts w:ascii="Arial" w:hAnsi="Arial" w:hint="default"/>
      </w:rPr>
    </w:lvl>
    <w:lvl w:ilvl="7" w:tplc="4F747828" w:tentative="1">
      <w:start w:val="1"/>
      <w:numFmt w:val="bullet"/>
      <w:lvlText w:val="•"/>
      <w:lvlJc w:val="left"/>
      <w:pPr>
        <w:tabs>
          <w:tab w:val="num" w:pos="5760"/>
        </w:tabs>
        <w:ind w:left="5760" w:hanging="360"/>
      </w:pPr>
      <w:rPr>
        <w:rFonts w:ascii="Arial" w:hAnsi="Arial" w:hint="default"/>
      </w:rPr>
    </w:lvl>
    <w:lvl w:ilvl="8" w:tplc="0F047BE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E134848"/>
    <w:multiLevelType w:val="hybridMultilevel"/>
    <w:tmpl w:val="7188D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E3725D"/>
    <w:multiLevelType w:val="hybridMultilevel"/>
    <w:tmpl w:val="65667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164194"/>
    <w:multiLevelType w:val="hybridMultilevel"/>
    <w:tmpl w:val="3174917C"/>
    <w:lvl w:ilvl="0" w:tplc="AF6C7970">
      <w:start w:val="1"/>
      <w:numFmt w:val="bullet"/>
      <w:lvlText w:val="•"/>
      <w:lvlJc w:val="left"/>
      <w:pPr>
        <w:tabs>
          <w:tab w:val="num" w:pos="720"/>
        </w:tabs>
        <w:ind w:left="720" w:hanging="360"/>
      </w:pPr>
      <w:rPr>
        <w:rFonts w:ascii="Arial" w:hAnsi="Arial" w:hint="default"/>
      </w:rPr>
    </w:lvl>
    <w:lvl w:ilvl="1" w:tplc="43B4DC38" w:tentative="1">
      <w:start w:val="1"/>
      <w:numFmt w:val="bullet"/>
      <w:lvlText w:val="•"/>
      <w:lvlJc w:val="left"/>
      <w:pPr>
        <w:tabs>
          <w:tab w:val="num" w:pos="1440"/>
        </w:tabs>
        <w:ind w:left="1440" w:hanging="360"/>
      </w:pPr>
      <w:rPr>
        <w:rFonts w:ascii="Arial" w:hAnsi="Arial" w:hint="default"/>
      </w:rPr>
    </w:lvl>
    <w:lvl w:ilvl="2" w:tplc="D17C3ACE" w:tentative="1">
      <w:start w:val="1"/>
      <w:numFmt w:val="bullet"/>
      <w:lvlText w:val="•"/>
      <w:lvlJc w:val="left"/>
      <w:pPr>
        <w:tabs>
          <w:tab w:val="num" w:pos="2160"/>
        </w:tabs>
        <w:ind w:left="2160" w:hanging="360"/>
      </w:pPr>
      <w:rPr>
        <w:rFonts w:ascii="Arial" w:hAnsi="Arial" w:hint="default"/>
      </w:rPr>
    </w:lvl>
    <w:lvl w:ilvl="3" w:tplc="5FA0DCCC" w:tentative="1">
      <w:start w:val="1"/>
      <w:numFmt w:val="bullet"/>
      <w:lvlText w:val="•"/>
      <w:lvlJc w:val="left"/>
      <w:pPr>
        <w:tabs>
          <w:tab w:val="num" w:pos="2880"/>
        </w:tabs>
        <w:ind w:left="2880" w:hanging="360"/>
      </w:pPr>
      <w:rPr>
        <w:rFonts w:ascii="Arial" w:hAnsi="Arial" w:hint="default"/>
      </w:rPr>
    </w:lvl>
    <w:lvl w:ilvl="4" w:tplc="129EB7C2" w:tentative="1">
      <w:start w:val="1"/>
      <w:numFmt w:val="bullet"/>
      <w:lvlText w:val="•"/>
      <w:lvlJc w:val="left"/>
      <w:pPr>
        <w:tabs>
          <w:tab w:val="num" w:pos="3600"/>
        </w:tabs>
        <w:ind w:left="3600" w:hanging="360"/>
      </w:pPr>
      <w:rPr>
        <w:rFonts w:ascii="Arial" w:hAnsi="Arial" w:hint="default"/>
      </w:rPr>
    </w:lvl>
    <w:lvl w:ilvl="5" w:tplc="1B1208E4" w:tentative="1">
      <w:start w:val="1"/>
      <w:numFmt w:val="bullet"/>
      <w:lvlText w:val="•"/>
      <w:lvlJc w:val="left"/>
      <w:pPr>
        <w:tabs>
          <w:tab w:val="num" w:pos="4320"/>
        </w:tabs>
        <w:ind w:left="4320" w:hanging="360"/>
      </w:pPr>
      <w:rPr>
        <w:rFonts w:ascii="Arial" w:hAnsi="Arial" w:hint="default"/>
      </w:rPr>
    </w:lvl>
    <w:lvl w:ilvl="6" w:tplc="94C270BE" w:tentative="1">
      <w:start w:val="1"/>
      <w:numFmt w:val="bullet"/>
      <w:lvlText w:val="•"/>
      <w:lvlJc w:val="left"/>
      <w:pPr>
        <w:tabs>
          <w:tab w:val="num" w:pos="5040"/>
        </w:tabs>
        <w:ind w:left="5040" w:hanging="360"/>
      </w:pPr>
      <w:rPr>
        <w:rFonts w:ascii="Arial" w:hAnsi="Arial" w:hint="default"/>
      </w:rPr>
    </w:lvl>
    <w:lvl w:ilvl="7" w:tplc="BD06131E" w:tentative="1">
      <w:start w:val="1"/>
      <w:numFmt w:val="bullet"/>
      <w:lvlText w:val="•"/>
      <w:lvlJc w:val="left"/>
      <w:pPr>
        <w:tabs>
          <w:tab w:val="num" w:pos="5760"/>
        </w:tabs>
        <w:ind w:left="5760" w:hanging="360"/>
      </w:pPr>
      <w:rPr>
        <w:rFonts w:ascii="Arial" w:hAnsi="Arial" w:hint="default"/>
      </w:rPr>
    </w:lvl>
    <w:lvl w:ilvl="8" w:tplc="AF1C6232"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4"/>
  </w:num>
  <w:num w:numId="3">
    <w:abstractNumId w:val="3"/>
  </w:num>
  <w:num w:numId="4">
    <w:abstractNumId w:val="9"/>
  </w:num>
  <w:num w:numId="5">
    <w:abstractNumId w:val="7"/>
  </w:num>
  <w:num w:numId="6">
    <w:abstractNumId w:val="11"/>
  </w:num>
  <w:num w:numId="7">
    <w:abstractNumId w:val="8"/>
  </w:num>
  <w:num w:numId="8">
    <w:abstractNumId w:val="6"/>
  </w:num>
  <w:num w:numId="9">
    <w:abstractNumId w:val="0"/>
  </w:num>
  <w:num w:numId="10">
    <w:abstractNumId w:val="1"/>
  </w:num>
  <w:num w:numId="11">
    <w:abstractNumId w:val="4"/>
  </w:num>
  <w:num w:numId="12">
    <w:abstractNumId w:val="10"/>
  </w:num>
  <w:num w:numId="13">
    <w:abstractNumId w:val="2"/>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D7"/>
    <w:rsid w:val="00022537"/>
    <w:rsid w:val="00044BBA"/>
    <w:rsid w:val="000500F0"/>
    <w:rsid w:val="00075103"/>
    <w:rsid w:val="00144978"/>
    <w:rsid w:val="00162368"/>
    <w:rsid w:val="00181BCB"/>
    <w:rsid w:val="0019215F"/>
    <w:rsid w:val="001C66A2"/>
    <w:rsid w:val="001D2BBA"/>
    <w:rsid w:val="001F59D2"/>
    <w:rsid w:val="001F6933"/>
    <w:rsid w:val="002115ED"/>
    <w:rsid w:val="00217BF5"/>
    <w:rsid w:val="00273E8B"/>
    <w:rsid w:val="00283F12"/>
    <w:rsid w:val="002E0C88"/>
    <w:rsid w:val="002F40D7"/>
    <w:rsid w:val="003130D1"/>
    <w:rsid w:val="00316A47"/>
    <w:rsid w:val="00320B2F"/>
    <w:rsid w:val="00321A71"/>
    <w:rsid w:val="00331EEF"/>
    <w:rsid w:val="0037031A"/>
    <w:rsid w:val="00374923"/>
    <w:rsid w:val="003914B2"/>
    <w:rsid w:val="003C2549"/>
    <w:rsid w:val="00414F0C"/>
    <w:rsid w:val="0043487B"/>
    <w:rsid w:val="00472560"/>
    <w:rsid w:val="004977AE"/>
    <w:rsid w:val="004F4738"/>
    <w:rsid w:val="005210A2"/>
    <w:rsid w:val="005332F7"/>
    <w:rsid w:val="005430E3"/>
    <w:rsid w:val="00551576"/>
    <w:rsid w:val="00560E96"/>
    <w:rsid w:val="00571A03"/>
    <w:rsid w:val="00577142"/>
    <w:rsid w:val="0058403B"/>
    <w:rsid w:val="00596C79"/>
    <w:rsid w:val="005C503A"/>
    <w:rsid w:val="005F006B"/>
    <w:rsid w:val="00604274"/>
    <w:rsid w:val="00607E90"/>
    <w:rsid w:val="0062218D"/>
    <w:rsid w:val="0065410F"/>
    <w:rsid w:val="006E059B"/>
    <w:rsid w:val="006E72B0"/>
    <w:rsid w:val="006F679B"/>
    <w:rsid w:val="00750748"/>
    <w:rsid w:val="00752C05"/>
    <w:rsid w:val="007533CA"/>
    <w:rsid w:val="007545A5"/>
    <w:rsid w:val="007A2A58"/>
    <w:rsid w:val="007C4321"/>
    <w:rsid w:val="007D061F"/>
    <w:rsid w:val="007F0EB6"/>
    <w:rsid w:val="007F5904"/>
    <w:rsid w:val="00811938"/>
    <w:rsid w:val="00814F86"/>
    <w:rsid w:val="008477F2"/>
    <w:rsid w:val="00857BAE"/>
    <w:rsid w:val="00880B90"/>
    <w:rsid w:val="008C2774"/>
    <w:rsid w:val="008E015E"/>
    <w:rsid w:val="00910CE9"/>
    <w:rsid w:val="0092387F"/>
    <w:rsid w:val="00932EA5"/>
    <w:rsid w:val="0098384E"/>
    <w:rsid w:val="00994DDD"/>
    <w:rsid w:val="00995841"/>
    <w:rsid w:val="009B5B15"/>
    <w:rsid w:val="009C519D"/>
    <w:rsid w:val="00AA5A3F"/>
    <w:rsid w:val="00AE2113"/>
    <w:rsid w:val="00AE6325"/>
    <w:rsid w:val="00B44DC5"/>
    <w:rsid w:val="00B854D2"/>
    <w:rsid w:val="00B97879"/>
    <w:rsid w:val="00BA25EB"/>
    <w:rsid w:val="00BF6106"/>
    <w:rsid w:val="00C11EC0"/>
    <w:rsid w:val="00C3738E"/>
    <w:rsid w:val="00C46910"/>
    <w:rsid w:val="00C71339"/>
    <w:rsid w:val="00C758C9"/>
    <w:rsid w:val="00C8052C"/>
    <w:rsid w:val="00C8697F"/>
    <w:rsid w:val="00CA139B"/>
    <w:rsid w:val="00CA41BD"/>
    <w:rsid w:val="00CA45F9"/>
    <w:rsid w:val="00CC39C3"/>
    <w:rsid w:val="00D16756"/>
    <w:rsid w:val="00D203DB"/>
    <w:rsid w:val="00D247C1"/>
    <w:rsid w:val="00D337D3"/>
    <w:rsid w:val="00D50397"/>
    <w:rsid w:val="00D6187B"/>
    <w:rsid w:val="00D74E86"/>
    <w:rsid w:val="00D85883"/>
    <w:rsid w:val="00D85F18"/>
    <w:rsid w:val="00DA4F20"/>
    <w:rsid w:val="00DB26DB"/>
    <w:rsid w:val="00DB539B"/>
    <w:rsid w:val="00DC022A"/>
    <w:rsid w:val="00DC1AE0"/>
    <w:rsid w:val="00DC424D"/>
    <w:rsid w:val="00DD259D"/>
    <w:rsid w:val="00DD5C44"/>
    <w:rsid w:val="00E0126A"/>
    <w:rsid w:val="00E213CD"/>
    <w:rsid w:val="00E229F3"/>
    <w:rsid w:val="00E27DB7"/>
    <w:rsid w:val="00EC06BC"/>
    <w:rsid w:val="00ED40FC"/>
    <w:rsid w:val="00F012B8"/>
    <w:rsid w:val="00F06DF7"/>
    <w:rsid w:val="00F16CF4"/>
    <w:rsid w:val="00F32266"/>
    <w:rsid w:val="00F45A3D"/>
    <w:rsid w:val="00F61095"/>
    <w:rsid w:val="00F7364E"/>
    <w:rsid w:val="00F812BA"/>
    <w:rsid w:val="00F93113"/>
    <w:rsid w:val="00F966D6"/>
    <w:rsid w:val="00FD5027"/>
    <w:rsid w:val="00FF03CF"/>
    <w:rsid w:val="00FF6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54AD89"/>
  <w15:chartTrackingRefBased/>
  <w15:docId w15:val="{5C84ED7A-C68F-4126-99FE-C9F95F550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322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Points,MAIN CONTENT,Bullet 1,List Paragraph11,List Paragraph12,Colorful List - Accent 11,Bullet Style,Bullet,Number"/>
    <w:basedOn w:val="Normal"/>
    <w:link w:val="ListParagraphChar"/>
    <w:uiPriority w:val="34"/>
    <w:qFormat/>
    <w:rsid w:val="005332F7"/>
    <w:pPr>
      <w:ind w:left="720"/>
      <w:contextualSpacing/>
    </w:pPr>
  </w:style>
  <w:style w:type="table" w:styleId="TableGrid">
    <w:name w:val="Table Grid"/>
    <w:basedOn w:val="TableNormal"/>
    <w:uiPriority w:val="39"/>
    <w:rsid w:val="0053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012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A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AFE"/>
  </w:style>
  <w:style w:type="paragraph" w:styleId="Footer">
    <w:name w:val="footer"/>
    <w:basedOn w:val="Normal"/>
    <w:link w:val="FooterChar"/>
    <w:uiPriority w:val="99"/>
    <w:unhideWhenUsed/>
    <w:rsid w:val="00FF6A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AFE"/>
  </w:style>
  <w:style w:type="character" w:customStyle="1" w:styleId="Heading2Char">
    <w:name w:val="Heading 2 Char"/>
    <w:basedOn w:val="DefaultParagraphFont"/>
    <w:link w:val="Heading2"/>
    <w:uiPriority w:val="9"/>
    <w:rsid w:val="00F32266"/>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Bullet Char"/>
    <w:link w:val="ListParagraph"/>
    <w:uiPriority w:val="34"/>
    <w:qFormat/>
    <w:locked/>
    <w:rsid w:val="00F32266"/>
  </w:style>
  <w:style w:type="character" w:styleId="CommentReference">
    <w:name w:val="annotation reference"/>
    <w:basedOn w:val="DefaultParagraphFont"/>
    <w:uiPriority w:val="99"/>
    <w:semiHidden/>
    <w:unhideWhenUsed/>
    <w:rsid w:val="00144978"/>
    <w:rPr>
      <w:sz w:val="16"/>
      <w:szCs w:val="16"/>
    </w:rPr>
  </w:style>
  <w:style w:type="paragraph" w:styleId="CommentText">
    <w:name w:val="annotation text"/>
    <w:basedOn w:val="Normal"/>
    <w:link w:val="CommentTextChar"/>
    <w:uiPriority w:val="99"/>
    <w:semiHidden/>
    <w:unhideWhenUsed/>
    <w:rsid w:val="00144978"/>
    <w:pPr>
      <w:spacing w:line="240" w:lineRule="auto"/>
    </w:pPr>
    <w:rPr>
      <w:sz w:val="20"/>
      <w:szCs w:val="20"/>
    </w:rPr>
  </w:style>
  <w:style w:type="character" w:customStyle="1" w:styleId="CommentTextChar">
    <w:name w:val="Comment Text Char"/>
    <w:basedOn w:val="DefaultParagraphFont"/>
    <w:link w:val="CommentText"/>
    <w:uiPriority w:val="99"/>
    <w:semiHidden/>
    <w:rsid w:val="00144978"/>
    <w:rPr>
      <w:sz w:val="20"/>
      <w:szCs w:val="20"/>
    </w:rPr>
  </w:style>
  <w:style w:type="paragraph" w:styleId="CommentSubject">
    <w:name w:val="annotation subject"/>
    <w:basedOn w:val="CommentText"/>
    <w:next w:val="CommentText"/>
    <w:link w:val="CommentSubjectChar"/>
    <w:uiPriority w:val="99"/>
    <w:semiHidden/>
    <w:unhideWhenUsed/>
    <w:rsid w:val="00144978"/>
    <w:rPr>
      <w:b/>
      <w:bCs/>
    </w:rPr>
  </w:style>
  <w:style w:type="character" w:customStyle="1" w:styleId="CommentSubjectChar">
    <w:name w:val="Comment Subject Char"/>
    <w:basedOn w:val="CommentTextChar"/>
    <w:link w:val="CommentSubject"/>
    <w:uiPriority w:val="99"/>
    <w:semiHidden/>
    <w:rsid w:val="00144978"/>
    <w:rPr>
      <w:b/>
      <w:bCs/>
      <w:sz w:val="20"/>
      <w:szCs w:val="20"/>
    </w:rPr>
  </w:style>
  <w:style w:type="paragraph" w:styleId="BalloonText">
    <w:name w:val="Balloon Text"/>
    <w:basedOn w:val="Normal"/>
    <w:link w:val="BalloonTextChar"/>
    <w:uiPriority w:val="99"/>
    <w:semiHidden/>
    <w:unhideWhenUsed/>
    <w:rsid w:val="00144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978"/>
    <w:rPr>
      <w:rFonts w:ascii="Segoe UI" w:hAnsi="Segoe UI" w:cs="Segoe UI"/>
      <w:sz w:val="18"/>
      <w:szCs w:val="18"/>
    </w:rPr>
  </w:style>
  <w:style w:type="paragraph" w:styleId="Revision">
    <w:name w:val="Revision"/>
    <w:hidden/>
    <w:uiPriority w:val="99"/>
    <w:semiHidden/>
    <w:rsid w:val="00FF03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40299">
      <w:bodyDiv w:val="1"/>
      <w:marLeft w:val="0"/>
      <w:marRight w:val="0"/>
      <w:marTop w:val="0"/>
      <w:marBottom w:val="0"/>
      <w:divBdr>
        <w:top w:val="none" w:sz="0" w:space="0" w:color="auto"/>
        <w:left w:val="none" w:sz="0" w:space="0" w:color="auto"/>
        <w:bottom w:val="none" w:sz="0" w:space="0" w:color="auto"/>
        <w:right w:val="none" w:sz="0" w:space="0" w:color="auto"/>
      </w:divBdr>
    </w:div>
    <w:div w:id="162091383">
      <w:bodyDiv w:val="1"/>
      <w:marLeft w:val="0"/>
      <w:marRight w:val="0"/>
      <w:marTop w:val="0"/>
      <w:marBottom w:val="0"/>
      <w:divBdr>
        <w:top w:val="none" w:sz="0" w:space="0" w:color="auto"/>
        <w:left w:val="none" w:sz="0" w:space="0" w:color="auto"/>
        <w:bottom w:val="none" w:sz="0" w:space="0" w:color="auto"/>
        <w:right w:val="none" w:sz="0" w:space="0" w:color="auto"/>
      </w:divBdr>
    </w:div>
    <w:div w:id="227231893">
      <w:bodyDiv w:val="1"/>
      <w:marLeft w:val="0"/>
      <w:marRight w:val="0"/>
      <w:marTop w:val="0"/>
      <w:marBottom w:val="0"/>
      <w:divBdr>
        <w:top w:val="none" w:sz="0" w:space="0" w:color="auto"/>
        <w:left w:val="none" w:sz="0" w:space="0" w:color="auto"/>
        <w:bottom w:val="none" w:sz="0" w:space="0" w:color="auto"/>
        <w:right w:val="none" w:sz="0" w:space="0" w:color="auto"/>
      </w:divBdr>
    </w:div>
    <w:div w:id="234097017">
      <w:bodyDiv w:val="1"/>
      <w:marLeft w:val="0"/>
      <w:marRight w:val="0"/>
      <w:marTop w:val="0"/>
      <w:marBottom w:val="0"/>
      <w:divBdr>
        <w:top w:val="none" w:sz="0" w:space="0" w:color="auto"/>
        <w:left w:val="none" w:sz="0" w:space="0" w:color="auto"/>
        <w:bottom w:val="none" w:sz="0" w:space="0" w:color="auto"/>
        <w:right w:val="none" w:sz="0" w:space="0" w:color="auto"/>
      </w:divBdr>
      <w:divsChild>
        <w:div w:id="1414165039">
          <w:marLeft w:val="446"/>
          <w:marRight w:val="0"/>
          <w:marTop w:val="0"/>
          <w:marBottom w:val="0"/>
          <w:divBdr>
            <w:top w:val="none" w:sz="0" w:space="0" w:color="auto"/>
            <w:left w:val="none" w:sz="0" w:space="0" w:color="auto"/>
            <w:bottom w:val="none" w:sz="0" w:space="0" w:color="auto"/>
            <w:right w:val="none" w:sz="0" w:space="0" w:color="auto"/>
          </w:divBdr>
        </w:div>
      </w:divsChild>
    </w:div>
    <w:div w:id="344986506">
      <w:bodyDiv w:val="1"/>
      <w:marLeft w:val="0"/>
      <w:marRight w:val="0"/>
      <w:marTop w:val="0"/>
      <w:marBottom w:val="0"/>
      <w:divBdr>
        <w:top w:val="none" w:sz="0" w:space="0" w:color="auto"/>
        <w:left w:val="none" w:sz="0" w:space="0" w:color="auto"/>
        <w:bottom w:val="none" w:sz="0" w:space="0" w:color="auto"/>
        <w:right w:val="none" w:sz="0" w:space="0" w:color="auto"/>
      </w:divBdr>
    </w:div>
    <w:div w:id="642849792">
      <w:bodyDiv w:val="1"/>
      <w:marLeft w:val="0"/>
      <w:marRight w:val="0"/>
      <w:marTop w:val="0"/>
      <w:marBottom w:val="0"/>
      <w:divBdr>
        <w:top w:val="none" w:sz="0" w:space="0" w:color="auto"/>
        <w:left w:val="none" w:sz="0" w:space="0" w:color="auto"/>
        <w:bottom w:val="none" w:sz="0" w:space="0" w:color="auto"/>
        <w:right w:val="none" w:sz="0" w:space="0" w:color="auto"/>
      </w:divBdr>
    </w:div>
    <w:div w:id="648675722">
      <w:bodyDiv w:val="1"/>
      <w:marLeft w:val="0"/>
      <w:marRight w:val="0"/>
      <w:marTop w:val="0"/>
      <w:marBottom w:val="0"/>
      <w:divBdr>
        <w:top w:val="none" w:sz="0" w:space="0" w:color="auto"/>
        <w:left w:val="none" w:sz="0" w:space="0" w:color="auto"/>
        <w:bottom w:val="none" w:sz="0" w:space="0" w:color="auto"/>
        <w:right w:val="none" w:sz="0" w:space="0" w:color="auto"/>
      </w:divBdr>
    </w:div>
    <w:div w:id="760101002">
      <w:bodyDiv w:val="1"/>
      <w:marLeft w:val="0"/>
      <w:marRight w:val="0"/>
      <w:marTop w:val="0"/>
      <w:marBottom w:val="0"/>
      <w:divBdr>
        <w:top w:val="none" w:sz="0" w:space="0" w:color="auto"/>
        <w:left w:val="none" w:sz="0" w:space="0" w:color="auto"/>
        <w:bottom w:val="none" w:sz="0" w:space="0" w:color="auto"/>
        <w:right w:val="none" w:sz="0" w:space="0" w:color="auto"/>
      </w:divBdr>
      <w:divsChild>
        <w:div w:id="1951085711">
          <w:marLeft w:val="446"/>
          <w:marRight w:val="0"/>
          <w:marTop w:val="0"/>
          <w:marBottom w:val="0"/>
          <w:divBdr>
            <w:top w:val="none" w:sz="0" w:space="0" w:color="auto"/>
            <w:left w:val="none" w:sz="0" w:space="0" w:color="auto"/>
            <w:bottom w:val="none" w:sz="0" w:space="0" w:color="auto"/>
            <w:right w:val="none" w:sz="0" w:space="0" w:color="auto"/>
          </w:divBdr>
        </w:div>
        <w:div w:id="1321694354">
          <w:marLeft w:val="446"/>
          <w:marRight w:val="0"/>
          <w:marTop w:val="0"/>
          <w:marBottom w:val="0"/>
          <w:divBdr>
            <w:top w:val="none" w:sz="0" w:space="0" w:color="auto"/>
            <w:left w:val="none" w:sz="0" w:space="0" w:color="auto"/>
            <w:bottom w:val="none" w:sz="0" w:space="0" w:color="auto"/>
            <w:right w:val="none" w:sz="0" w:space="0" w:color="auto"/>
          </w:divBdr>
        </w:div>
      </w:divsChild>
    </w:div>
    <w:div w:id="924655766">
      <w:bodyDiv w:val="1"/>
      <w:marLeft w:val="0"/>
      <w:marRight w:val="0"/>
      <w:marTop w:val="0"/>
      <w:marBottom w:val="0"/>
      <w:divBdr>
        <w:top w:val="none" w:sz="0" w:space="0" w:color="auto"/>
        <w:left w:val="none" w:sz="0" w:space="0" w:color="auto"/>
        <w:bottom w:val="none" w:sz="0" w:space="0" w:color="auto"/>
        <w:right w:val="none" w:sz="0" w:space="0" w:color="auto"/>
      </w:divBdr>
      <w:divsChild>
        <w:div w:id="256256725">
          <w:marLeft w:val="446"/>
          <w:marRight w:val="0"/>
          <w:marTop w:val="0"/>
          <w:marBottom w:val="0"/>
          <w:divBdr>
            <w:top w:val="none" w:sz="0" w:space="0" w:color="auto"/>
            <w:left w:val="none" w:sz="0" w:space="0" w:color="auto"/>
            <w:bottom w:val="none" w:sz="0" w:space="0" w:color="auto"/>
            <w:right w:val="none" w:sz="0" w:space="0" w:color="auto"/>
          </w:divBdr>
        </w:div>
      </w:divsChild>
    </w:div>
    <w:div w:id="1079058943">
      <w:bodyDiv w:val="1"/>
      <w:marLeft w:val="0"/>
      <w:marRight w:val="0"/>
      <w:marTop w:val="0"/>
      <w:marBottom w:val="0"/>
      <w:divBdr>
        <w:top w:val="none" w:sz="0" w:space="0" w:color="auto"/>
        <w:left w:val="none" w:sz="0" w:space="0" w:color="auto"/>
        <w:bottom w:val="none" w:sz="0" w:space="0" w:color="auto"/>
        <w:right w:val="none" w:sz="0" w:space="0" w:color="auto"/>
      </w:divBdr>
    </w:div>
    <w:div w:id="1091075821">
      <w:bodyDiv w:val="1"/>
      <w:marLeft w:val="0"/>
      <w:marRight w:val="0"/>
      <w:marTop w:val="0"/>
      <w:marBottom w:val="0"/>
      <w:divBdr>
        <w:top w:val="none" w:sz="0" w:space="0" w:color="auto"/>
        <w:left w:val="none" w:sz="0" w:space="0" w:color="auto"/>
        <w:bottom w:val="none" w:sz="0" w:space="0" w:color="auto"/>
        <w:right w:val="none" w:sz="0" w:space="0" w:color="auto"/>
      </w:divBdr>
      <w:divsChild>
        <w:div w:id="1594128924">
          <w:marLeft w:val="446"/>
          <w:marRight w:val="0"/>
          <w:marTop w:val="0"/>
          <w:marBottom w:val="0"/>
          <w:divBdr>
            <w:top w:val="none" w:sz="0" w:space="0" w:color="auto"/>
            <w:left w:val="none" w:sz="0" w:space="0" w:color="auto"/>
            <w:bottom w:val="none" w:sz="0" w:space="0" w:color="auto"/>
            <w:right w:val="none" w:sz="0" w:space="0" w:color="auto"/>
          </w:divBdr>
        </w:div>
      </w:divsChild>
    </w:div>
    <w:div w:id="1149706532">
      <w:bodyDiv w:val="1"/>
      <w:marLeft w:val="0"/>
      <w:marRight w:val="0"/>
      <w:marTop w:val="0"/>
      <w:marBottom w:val="0"/>
      <w:divBdr>
        <w:top w:val="none" w:sz="0" w:space="0" w:color="auto"/>
        <w:left w:val="none" w:sz="0" w:space="0" w:color="auto"/>
        <w:bottom w:val="none" w:sz="0" w:space="0" w:color="auto"/>
        <w:right w:val="none" w:sz="0" w:space="0" w:color="auto"/>
      </w:divBdr>
    </w:div>
    <w:div w:id="1176575478">
      <w:bodyDiv w:val="1"/>
      <w:marLeft w:val="0"/>
      <w:marRight w:val="0"/>
      <w:marTop w:val="0"/>
      <w:marBottom w:val="0"/>
      <w:divBdr>
        <w:top w:val="none" w:sz="0" w:space="0" w:color="auto"/>
        <w:left w:val="none" w:sz="0" w:space="0" w:color="auto"/>
        <w:bottom w:val="none" w:sz="0" w:space="0" w:color="auto"/>
        <w:right w:val="none" w:sz="0" w:space="0" w:color="auto"/>
      </w:divBdr>
      <w:divsChild>
        <w:div w:id="1241063728">
          <w:marLeft w:val="446"/>
          <w:marRight w:val="0"/>
          <w:marTop w:val="0"/>
          <w:marBottom w:val="0"/>
          <w:divBdr>
            <w:top w:val="none" w:sz="0" w:space="0" w:color="auto"/>
            <w:left w:val="none" w:sz="0" w:space="0" w:color="auto"/>
            <w:bottom w:val="none" w:sz="0" w:space="0" w:color="auto"/>
            <w:right w:val="none" w:sz="0" w:space="0" w:color="auto"/>
          </w:divBdr>
        </w:div>
      </w:divsChild>
    </w:div>
    <w:div w:id="1215892043">
      <w:bodyDiv w:val="1"/>
      <w:marLeft w:val="0"/>
      <w:marRight w:val="0"/>
      <w:marTop w:val="0"/>
      <w:marBottom w:val="0"/>
      <w:divBdr>
        <w:top w:val="none" w:sz="0" w:space="0" w:color="auto"/>
        <w:left w:val="none" w:sz="0" w:space="0" w:color="auto"/>
        <w:bottom w:val="none" w:sz="0" w:space="0" w:color="auto"/>
        <w:right w:val="none" w:sz="0" w:space="0" w:color="auto"/>
      </w:divBdr>
      <w:divsChild>
        <w:div w:id="2085561695">
          <w:marLeft w:val="446"/>
          <w:marRight w:val="0"/>
          <w:marTop w:val="0"/>
          <w:marBottom w:val="0"/>
          <w:divBdr>
            <w:top w:val="none" w:sz="0" w:space="0" w:color="auto"/>
            <w:left w:val="none" w:sz="0" w:space="0" w:color="auto"/>
            <w:bottom w:val="none" w:sz="0" w:space="0" w:color="auto"/>
            <w:right w:val="none" w:sz="0" w:space="0" w:color="auto"/>
          </w:divBdr>
        </w:div>
      </w:divsChild>
    </w:div>
    <w:div w:id="1266421295">
      <w:bodyDiv w:val="1"/>
      <w:marLeft w:val="0"/>
      <w:marRight w:val="0"/>
      <w:marTop w:val="0"/>
      <w:marBottom w:val="0"/>
      <w:divBdr>
        <w:top w:val="none" w:sz="0" w:space="0" w:color="auto"/>
        <w:left w:val="none" w:sz="0" w:space="0" w:color="auto"/>
        <w:bottom w:val="none" w:sz="0" w:space="0" w:color="auto"/>
        <w:right w:val="none" w:sz="0" w:space="0" w:color="auto"/>
      </w:divBdr>
      <w:divsChild>
        <w:div w:id="1207135041">
          <w:marLeft w:val="446"/>
          <w:marRight w:val="0"/>
          <w:marTop w:val="0"/>
          <w:marBottom w:val="0"/>
          <w:divBdr>
            <w:top w:val="none" w:sz="0" w:space="0" w:color="auto"/>
            <w:left w:val="none" w:sz="0" w:space="0" w:color="auto"/>
            <w:bottom w:val="none" w:sz="0" w:space="0" w:color="auto"/>
            <w:right w:val="none" w:sz="0" w:space="0" w:color="auto"/>
          </w:divBdr>
        </w:div>
      </w:divsChild>
    </w:div>
    <w:div w:id="1267081353">
      <w:bodyDiv w:val="1"/>
      <w:marLeft w:val="0"/>
      <w:marRight w:val="0"/>
      <w:marTop w:val="0"/>
      <w:marBottom w:val="0"/>
      <w:divBdr>
        <w:top w:val="none" w:sz="0" w:space="0" w:color="auto"/>
        <w:left w:val="none" w:sz="0" w:space="0" w:color="auto"/>
        <w:bottom w:val="none" w:sz="0" w:space="0" w:color="auto"/>
        <w:right w:val="none" w:sz="0" w:space="0" w:color="auto"/>
      </w:divBdr>
      <w:divsChild>
        <w:div w:id="1805539236">
          <w:marLeft w:val="446"/>
          <w:marRight w:val="0"/>
          <w:marTop w:val="0"/>
          <w:marBottom w:val="0"/>
          <w:divBdr>
            <w:top w:val="none" w:sz="0" w:space="0" w:color="auto"/>
            <w:left w:val="none" w:sz="0" w:space="0" w:color="auto"/>
            <w:bottom w:val="none" w:sz="0" w:space="0" w:color="auto"/>
            <w:right w:val="none" w:sz="0" w:space="0" w:color="auto"/>
          </w:divBdr>
        </w:div>
      </w:divsChild>
    </w:div>
    <w:div w:id="1320618737">
      <w:bodyDiv w:val="1"/>
      <w:marLeft w:val="0"/>
      <w:marRight w:val="0"/>
      <w:marTop w:val="0"/>
      <w:marBottom w:val="0"/>
      <w:divBdr>
        <w:top w:val="none" w:sz="0" w:space="0" w:color="auto"/>
        <w:left w:val="none" w:sz="0" w:space="0" w:color="auto"/>
        <w:bottom w:val="none" w:sz="0" w:space="0" w:color="auto"/>
        <w:right w:val="none" w:sz="0" w:space="0" w:color="auto"/>
      </w:divBdr>
    </w:div>
    <w:div w:id="1597134938">
      <w:bodyDiv w:val="1"/>
      <w:marLeft w:val="0"/>
      <w:marRight w:val="0"/>
      <w:marTop w:val="0"/>
      <w:marBottom w:val="0"/>
      <w:divBdr>
        <w:top w:val="none" w:sz="0" w:space="0" w:color="auto"/>
        <w:left w:val="none" w:sz="0" w:space="0" w:color="auto"/>
        <w:bottom w:val="none" w:sz="0" w:space="0" w:color="auto"/>
        <w:right w:val="none" w:sz="0" w:space="0" w:color="auto"/>
      </w:divBdr>
    </w:div>
    <w:div w:id="1671328053">
      <w:bodyDiv w:val="1"/>
      <w:marLeft w:val="0"/>
      <w:marRight w:val="0"/>
      <w:marTop w:val="0"/>
      <w:marBottom w:val="0"/>
      <w:divBdr>
        <w:top w:val="none" w:sz="0" w:space="0" w:color="auto"/>
        <w:left w:val="none" w:sz="0" w:space="0" w:color="auto"/>
        <w:bottom w:val="none" w:sz="0" w:space="0" w:color="auto"/>
        <w:right w:val="none" w:sz="0" w:space="0" w:color="auto"/>
      </w:divBdr>
      <w:divsChild>
        <w:div w:id="2071342520">
          <w:marLeft w:val="446"/>
          <w:marRight w:val="0"/>
          <w:marTop w:val="0"/>
          <w:marBottom w:val="0"/>
          <w:divBdr>
            <w:top w:val="none" w:sz="0" w:space="0" w:color="auto"/>
            <w:left w:val="none" w:sz="0" w:space="0" w:color="auto"/>
            <w:bottom w:val="none" w:sz="0" w:space="0" w:color="auto"/>
            <w:right w:val="none" w:sz="0" w:space="0" w:color="auto"/>
          </w:divBdr>
        </w:div>
        <w:div w:id="515071482">
          <w:marLeft w:val="446"/>
          <w:marRight w:val="0"/>
          <w:marTop w:val="0"/>
          <w:marBottom w:val="0"/>
          <w:divBdr>
            <w:top w:val="none" w:sz="0" w:space="0" w:color="auto"/>
            <w:left w:val="none" w:sz="0" w:space="0" w:color="auto"/>
            <w:bottom w:val="none" w:sz="0" w:space="0" w:color="auto"/>
            <w:right w:val="none" w:sz="0" w:space="0" w:color="auto"/>
          </w:divBdr>
        </w:div>
      </w:divsChild>
    </w:div>
    <w:div w:id="1736002589">
      <w:bodyDiv w:val="1"/>
      <w:marLeft w:val="0"/>
      <w:marRight w:val="0"/>
      <w:marTop w:val="0"/>
      <w:marBottom w:val="0"/>
      <w:divBdr>
        <w:top w:val="none" w:sz="0" w:space="0" w:color="auto"/>
        <w:left w:val="none" w:sz="0" w:space="0" w:color="auto"/>
        <w:bottom w:val="none" w:sz="0" w:space="0" w:color="auto"/>
        <w:right w:val="none" w:sz="0" w:space="0" w:color="auto"/>
      </w:divBdr>
      <w:divsChild>
        <w:div w:id="1874078055">
          <w:marLeft w:val="446"/>
          <w:marRight w:val="0"/>
          <w:marTop w:val="0"/>
          <w:marBottom w:val="0"/>
          <w:divBdr>
            <w:top w:val="none" w:sz="0" w:space="0" w:color="auto"/>
            <w:left w:val="none" w:sz="0" w:space="0" w:color="auto"/>
            <w:bottom w:val="none" w:sz="0" w:space="0" w:color="auto"/>
            <w:right w:val="none" w:sz="0" w:space="0" w:color="auto"/>
          </w:divBdr>
        </w:div>
      </w:divsChild>
    </w:div>
    <w:div w:id="1795294890">
      <w:bodyDiv w:val="1"/>
      <w:marLeft w:val="0"/>
      <w:marRight w:val="0"/>
      <w:marTop w:val="0"/>
      <w:marBottom w:val="0"/>
      <w:divBdr>
        <w:top w:val="none" w:sz="0" w:space="0" w:color="auto"/>
        <w:left w:val="none" w:sz="0" w:space="0" w:color="auto"/>
        <w:bottom w:val="none" w:sz="0" w:space="0" w:color="auto"/>
        <w:right w:val="none" w:sz="0" w:space="0" w:color="auto"/>
      </w:divBdr>
    </w:div>
    <w:div w:id="208964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B184E6D408124CA45B87FF80A05A6E" ma:contentTypeVersion="8" ma:contentTypeDescription="Create a new document." ma:contentTypeScope="" ma:versionID="3ab963e66f6863e823b227c462c92ad5">
  <xsd:schema xmlns:xsd="http://www.w3.org/2001/XMLSchema" xmlns:xs="http://www.w3.org/2001/XMLSchema" xmlns:p="http://schemas.microsoft.com/office/2006/metadata/properties" xmlns:ns3="7f1e23f3-31d3-499f-875e-2157d9103bac" xmlns:ns4="7e5078d1-72cf-43d1-b3ae-69933ea7ae29" targetNamespace="http://schemas.microsoft.com/office/2006/metadata/properties" ma:root="true" ma:fieldsID="ced9b397b4f3075715fc791a8f2581fb" ns3:_="" ns4:_="">
    <xsd:import namespace="7f1e23f3-31d3-499f-875e-2157d9103bac"/>
    <xsd:import namespace="7e5078d1-72cf-43d1-b3ae-69933ea7ae2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e23f3-31d3-499f-875e-2157d9103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5078d1-72cf-43d1-b3ae-69933ea7ae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49D31-6051-4F80-B07A-C0AE11AA5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e23f3-31d3-499f-875e-2157d9103bac"/>
    <ds:schemaRef ds:uri="7e5078d1-72cf-43d1-b3ae-69933ea7a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A11999-45EB-4BE4-AEE1-1A83B7F1D9D1}">
  <ds:schemaRefs>
    <ds:schemaRef ds:uri="http://schemas.microsoft.com/sharepoint/v3/contenttype/forms"/>
  </ds:schemaRefs>
</ds:datastoreItem>
</file>

<file path=customXml/itemProps3.xml><?xml version="1.0" encoding="utf-8"?>
<ds:datastoreItem xmlns:ds="http://schemas.openxmlformats.org/officeDocument/2006/customXml" ds:itemID="{7849EBC1-3E9A-4AB9-A85C-59F62B7914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091BF4-E558-4AC5-B71C-B90E3BA6C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Whitehead (CTM UHB - NCCU)</dc:creator>
  <cp:keywords/>
  <dc:description/>
  <cp:lastModifiedBy>Matthew Edwards (CTM UHB - NCCU - Emergency Ambulance Services Team)</cp:lastModifiedBy>
  <cp:revision>3</cp:revision>
  <cp:lastPrinted>2021-10-16T12:09:00Z</cp:lastPrinted>
  <dcterms:created xsi:type="dcterms:W3CDTF">2021-12-10T15:55:00Z</dcterms:created>
  <dcterms:modified xsi:type="dcterms:W3CDTF">2021-12-10T15:55:00Z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0x0101006BB184E6D408124CA45B87FF80A05A6E</vt:lpwstr>
  </property>
</Properties>
</file>